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CFBE" w14:textId="26F8317F" w:rsidR="00BB2F1F" w:rsidRDefault="00165EA7">
      <w:pPr>
        <w:rPr>
          <w:rFonts w:ascii="Tahoma" w:hAnsi="Tahoma" w:cs="Tahoma"/>
          <w:b/>
          <w:sz w:val="20"/>
          <w:szCs w:val="20"/>
        </w:rPr>
      </w:pPr>
      <w:r>
        <w:rPr>
          <w:rFonts w:ascii="Tahoma" w:hAnsi="Tahoma" w:cs="Tahoma"/>
          <w:b/>
          <w:sz w:val="20"/>
          <w:szCs w:val="20"/>
        </w:rPr>
        <w:t xml:space="preserve">APPLICATION EXERCISE </w:t>
      </w:r>
      <w:r w:rsidR="00CC7BD8">
        <w:rPr>
          <w:rFonts w:ascii="Tahoma" w:hAnsi="Tahoma" w:cs="Tahoma"/>
          <w:b/>
          <w:sz w:val="20"/>
          <w:szCs w:val="20"/>
        </w:rPr>
        <w:t>1</w:t>
      </w:r>
      <w:r w:rsidR="006B3930">
        <w:rPr>
          <w:rFonts w:ascii="Tahoma" w:hAnsi="Tahoma" w:cs="Tahoma"/>
          <w:b/>
          <w:sz w:val="20"/>
          <w:szCs w:val="20"/>
        </w:rPr>
        <w:t>4</w:t>
      </w:r>
      <w:r>
        <w:rPr>
          <w:rFonts w:ascii="Tahoma" w:hAnsi="Tahoma" w:cs="Tahoma"/>
          <w:b/>
          <w:sz w:val="20"/>
          <w:szCs w:val="20"/>
        </w:rPr>
        <w:t xml:space="preserve"> – SUGGESTED SOLUTION</w:t>
      </w:r>
    </w:p>
    <w:p w14:paraId="24530207" w14:textId="1F8194C6" w:rsidR="00987F88" w:rsidRDefault="00987F88">
      <w:pPr>
        <w:rPr>
          <w:rFonts w:ascii="Tahoma" w:hAnsi="Tahoma" w:cs="Tahoma"/>
          <w:b/>
          <w:sz w:val="20"/>
          <w:szCs w:val="20"/>
        </w:rPr>
      </w:pPr>
    </w:p>
    <w:p w14:paraId="2FED2890" w14:textId="2AEFDA2A" w:rsidR="00987F88" w:rsidRPr="00CC7BD8" w:rsidRDefault="00987F88" w:rsidP="00987F88">
      <w:pPr>
        <w:pStyle w:val="NoSpacing"/>
        <w:numPr>
          <w:ilvl w:val="0"/>
          <w:numId w:val="1"/>
        </w:numPr>
        <w:jc w:val="left"/>
        <w:rPr>
          <w:rFonts w:cs="Tahoma"/>
          <w:b/>
        </w:rPr>
      </w:pPr>
      <w:r w:rsidRPr="00CC7BD8">
        <w:rPr>
          <w:rFonts w:cs="Tahoma"/>
          <w:b/>
        </w:rPr>
        <w:t xml:space="preserve">Calculate the depreciation expense for the year ended 30 June </w:t>
      </w:r>
      <w:r w:rsidR="008D7E6D">
        <w:rPr>
          <w:rFonts w:cs="Tahoma"/>
          <w:b/>
        </w:rPr>
        <w:t>2025</w:t>
      </w:r>
      <w:r w:rsidRPr="00CC7BD8">
        <w:rPr>
          <w:rFonts w:cs="Tahoma"/>
          <w:b/>
        </w:rPr>
        <w:t xml:space="preserve">.  </w:t>
      </w:r>
    </w:p>
    <w:p w14:paraId="7FAC0BB1" w14:textId="6FE7B936" w:rsidR="00987F88" w:rsidRDefault="00987F88" w:rsidP="00CC7BD8">
      <w:pPr>
        <w:pStyle w:val="NoSpacing"/>
        <w:ind w:left="360"/>
        <w:jc w:val="left"/>
        <w:rPr>
          <w:rFonts w:cs="Tahoma"/>
          <w:szCs w:val="20"/>
        </w:rPr>
      </w:pPr>
      <w:r w:rsidRPr="005312FE">
        <w:rPr>
          <w:rFonts w:cs="Tahoma"/>
          <w:szCs w:val="20"/>
        </w:rPr>
        <w:t xml:space="preserve">                                                                                                    </w:t>
      </w:r>
    </w:p>
    <w:p w14:paraId="2328505C" w14:textId="1B5C0F30" w:rsidR="00CD1AE1" w:rsidRPr="00AB13DC" w:rsidRDefault="00CD1AE1" w:rsidP="00CD1AE1">
      <w:pPr>
        <w:pStyle w:val="NoSpacing"/>
        <w:rPr>
          <w:rFonts w:cs="Tahoma"/>
          <w:b/>
        </w:rPr>
      </w:pPr>
      <w:r>
        <w:rPr>
          <w:rFonts w:cs="Tahoma"/>
          <w:u w:val="single"/>
        </w:rPr>
        <w:t>32 000 – 8 000</w:t>
      </w:r>
      <w:r>
        <w:rPr>
          <w:rFonts w:cs="Tahoma"/>
        </w:rPr>
        <w:t xml:space="preserve"> = $4 000 per year </w:t>
      </w:r>
    </w:p>
    <w:p w14:paraId="5C9FA759" w14:textId="77777777" w:rsidR="00CD1AE1" w:rsidRDefault="00CD1AE1" w:rsidP="00CD1AE1">
      <w:pPr>
        <w:pStyle w:val="NoSpacing"/>
        <w:rPr>
          <w:rFonts w:cs="Tahoma"/>
        </w:rPr>
      </w:pPr>
      <w:r>
        <w:rPr>
          <w:rFonts w:cs="Tahoma"/>
        </w:rPr>
        <w:t xml:space="preserve">         6</w:t>
      </w:r>
    </w:p>
    <w:p w14:paraId="73E3D792" w14:textId="77777777" w:rsidR="00CD1AE1" w:rsidRDefault="00CD1AE1" w:rsidP="00CD1AE1">
      <w:pPr>
        <w:pStyle w:val="NoSpacing"/>
        <w:rPr>
          <w:rFonts w:cs="Tahoma"/>
        </w:rPr>
      </w:pPr>
    </w:p>
    <w:p w14:paraId="06D1FEDE" w14:textId="6C88A521" w:rsidR="00CD1AE1" w:rsidRPr="00AB13DC" w:rsidRDefault="00CD1AE1" w:rsidP="00CD1AE1">
      <w:pPr>
        <w:pStyle w:val="NoSpacing"/>
        <w:rPr>
          <w:rFonts w:cs="Tahoma"/>
          <w:b/>
        </w:rPr>
      </w:pPr>
      <w:r>
        <w:rPr>
          <w:rFonts w:cs="Tahoma"/>
          <w:u w:val="single"/>
        </w:rPr>
        <w:t>$4 000</w:t>
      </w:r>
      <w:r>
        <w:rPr>
          <w:rFonts w:cs="Tahoma"/>
        </w:rPr>
        <w:t xml:space="preserve"> x 6 months = </w:t>
      </w:r>
      <w:r w:rsidRPr="00CD1AE1">
        <w:rPr>
          <w:rFonts w:cs="Tahoma"/>
          <w:b/>
          <w:u w:val="single"/>
        </w:rPr>
        <w:t>$2 000</w:t>
      </w:r>
    </w:p>
    <w:p w14:paraId="412B43D2" w14:textId="77777777" w:rsidR="00CD1AE1" w:rsidRPr="00AE2399" w:rsidRDefault="00CD1AE1" w:rsidP="00CD1AE1">
      <w:pPr>
        <w:pStyle w:val="NoSpacing"/>
        <w:rPr>
          <w:rFonts w:cs="Tahoma"/>
        </w:rPr>
      </w:pPr>
      <w:r>
        <w:rPr>
          <w:rFonts w:cs="Tahoma"/>
        </w:rPr>
        <w:t xml:space="preserve">   12</w:t>
      </w:r>
    </w:p>
    <w:p w14:paraId="064994A4" w14:textId="6E69C9B1" w:rsidR="00987F88" w:rsidRDefault="00987F88" w:rsidP="00987F88">
      <w:pPr>
        <w:pStyle w:val="NoSpacing"/>
        <w:rPr>
          <w:rFonts w:cs="Tahoma"/>
          <w:szCs w:val="20"/>
        </w:rPr>
      </w:pPr>
    </w:p>
    <w:p w14:paraId="6B6B8402" w14:textId="77777777" w:rsidR="00CD1AE1" w:rsidRPr="00CC7BD8" w:rsidRDefault="00CD1AE1" w:rsidP="00987F88">
      <w:pPr>
        <w:pStyle w:val="NoSpacing"/>
        <w:rPr>
          <w:rFonts w:cs="Tahoma"/>
          <w:b/>
          <w:sz w:val="10"/>
          <w:szCs w:val="10"/>
        </w:rPr>
      </w:pPr>
    </w:p>
    <w:p w14:paraId="4FD81D7C" w14:textId="77777777" w:rsidR="00987F88" w:rsidRPr="00CC7BD8" w:rsidRDefault="00987F88" w:rsidP="00987F88">
      <w:pPr>
        <w:pStyle w:val="NoSpacing"/>
        <w:numPr>
          <w:ilvl w:val="0"/>
          <w:numId w:val="1"/>
        </w:numPr>
        <w:jc w:val="left"/>
        <w:rPr>
          <w:rFonts w:cs="Tahoma"/>
          <w:b/>
        </w:rPr>
      </w:pPr>
      <w:r w:rsidRPr="00CC7BD8">
        <w:rPr>
          <w:rFonts w:cs="Tahoma"/>
          <w:b/>
        </w:rPr>
        <w:t xml:space="preserve">Assuming no additional Vans had been purchased, show how the Van would be reported in the Balance Sheet as at 30 June 2020.   </w:t>
      </w:r>
    </w:p>
    <w:p w14:paraId="30F009F2" w14:textId="77777777" w:rsidR="00987F88" w:rsidRPr="00CD1AE1" w:rsidRDefault="00987F88" w:rsidP="00987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right"/>
        <w:rPr>
          <w:rFonts w:ascii="Tahoma" w:hAnsi="Tahoma" w:cs="Tahoma"/>
          <w:color w:val="000000"/>
          <w:sz w:val="10"/>
          <w:szCs w:val="10"/>
        </w:rPr>
      </w:pPr>
    </w:p>
    <w:p w14:paraId="03BA51F9" w14:textId="77777777" w:rsidR="00987F88" w:rsidRPr="00C5080F" w:rsidRDefault="00987F88" w:rsidP="00987F88">
      <w:pPr>
        <w:pStyle w:val="NoSpacing"/>
        <w:rPr>
          <w:b/>
          <w:szCs w:val="20"/>
        </w:rPr>
      </w:pPr>
      <w:r>
        <w:rPr>
          <w:b/>
          <w:szCs w:val="20"/>
        </w:rPr>
        <w:t>Richie’s Rugs</w:t>
      </w:r>
    </w:p>
    <w:p w14:paraId="1DE774C2" w14:textId="77777777" w:rsidR="00987F88" w:rsidRPr="00C5080F" w:rsidRDefault="00987F88" w:rsidP="00987F88">
      <w:pPr>
        <w:pStyle w:val="NoSpacing"/>
        <w:rPr>
          <w:b/>
          <w:szCs w:val="20"/>
        </w:rPr>
      </w:pPr>
      <w:r w:rsidRPr="00C5080F">
        <w:rPr>
          <w:b/>
          <w:szCs w:val="20"/>
        </w:rPr>
        <w:t>Balance</w:t>
      </w:r>
      <w:r>
        <w:rPr>
          <w:b/>
          <w:szCs w:val="20"/>
        </w:rPr>
        <w:t xml:space="preserve"> Sheet (extract) </w:t>
      </w:r>
      <w:r w:rsidRPr="00C5080F">
        <w:rPr>
          <w:b/>
          <w:szCs w:val="20"/>
        </w:rPr>
        <w:t xml:space="preserve">as at </w:t>
      </w:r>
      <w:r>
        <w:rPr>
          <w:b/>
          <w:szCs w:val="20"/>
        </w:rPr>
        <w:t xml:space="preserve">30 June </w:t>
      </w:r>
      <w:r w:rsidRPr="00C5080F">
        <w:rPr>
          <w:b/>
          <w:szCs w:val="20"/>
        </w:rPr>
        <w:t>20</w:t>
      </w:r>
      <w:r>
        <w:rPr>
          <w:b/>
          <w:szCs w:val="20"/>
        </w:rPr>
        <w:t>20</w:t>
      </w:r>
    </w:p>
    <w:p w14:paraId="5376EBE6" w14:textId="77777777" w:rsidR="00987F88" w:rsidRPr="00C5080F" w:rsidRDefault="00987F88" w:rsidP="00987F88">
      <w:pPr>
        <w:pStyle w:val="NoSpacing"/>
        <w:rPr>
          <w:sz w:val="10"/>
          <w:szCs w:val="10"/>
        </w:rPr>
      </w:pPr>
    </w:p>
    <w:tbl>
      <w:tblPr>
        <w:tblStyle w:val="TableGrid"/>
        <w:tblW w:w="0" w:type="auto"/>
        <w:tblLook w:val="04A0" w:firstRow="1" w:lastRow="0" w:firstColumn="1" w:lastColumn="0" w:noHBand="0" w:noVBand="1"/>
      </w:tblPr>
      <w:tblGrid>
        <w:gridCol w:w="3823"/>
        <w:gridCol w:w="1984"/>
        <w:gridCol w:w="1985"/>
      </w:tblGrid>
      <w:tr w:rsidR="00987F88" w14:paraId="1FC96DE7" w14:textId="77777777" w:rsidTr="00F65E6B">
        <w:tc>
          <w:tcPr>
            <w:tcW w:w="3823" w:type="dxa"/>
          </w:tcPr>
          <w:p w14:paraId="1444C3F4" w14:textId="77777777" w:rsidR="00987F88" w:rsidRPr="006255A3" w:rsidRDefault="00987F88" w:rsidP="00F65E6B">
            <w:pPr>
              <w:pStyle w:val="NoSpacing"/>
              <w:rPr>
                <w:b/>
                <w:sz w:val="6"/>
                <w:szCs w:val="6"/>
              </w:rPr>
            </w:pPr>
          </w:p>
          <w:p w14:paraId="2D1E229C" w14:textId="77777777" w:rsidR="00987F88" w:rsidRDefault="00987F88" w:rsidP="00F65E6B">
            <w:pPr>
              <w:pStyle w:val="NoSpacing"/>
              <w:rPr>
                <w:b/>
              </w:rPr>
            </w:pPr>
          </w:p>
          <w:p w14:paraId="782292A2" w14:textId="77777777" w:rsidR="00987F88" w:rsidRPr="006255A3" w:rsidRDefault="00987F88" w:rsidP="00F65E6B">
            <w:pPr>
              <w:pStyle w:val="NoSpacing"/>
              <w:rPr>
                <w:b/>
                <w:sz w:val="6"/>
                <w:szCs w:val="6"/>
              </w:rPr>
            </w:pPr>
          </w:p>
        </w:tc>
        <w:tc>
          <w:tcPr>
            <w:tcW w:w="1984" w:type="dxa"/>
          </w:tcPr>
          <w:p w14:paraId="61605A7E" w14:textId="77777777" w:rsidR="00987F88" w:rsidRPr="006255A3" w:rsidRDefault="00987F88" w:rsidP="00F65E6B">
            <w:pPr>
              <w:pStyle w:val="NoSpacing"/>
              <w:jc w:val="center"/>
              <w:rPr>
                <w:b/>
                <w:sz w:val="6"/>
                <w:szCs w:val="6"/>
              </w:rPr>
            </w:pPr>
          </w:p>
          <w:p w14:paraId="487C878A" w14:textId="77777777" w:rsidR="00987F88" w:rsidRPr="00C5080F" w:rsidRDefault="00987F88" w:rsidP="00F65E6B">
            <w:pPr>
              <w:pStyle w:val="NoSpacing"/>
              <w:jc w:val="center"/>
              <w:rPr>
                <w:b/>
              </w:rPr>
            </w:pPr>
            <w:r>
              <w:rPr>
                <w:b/>
              </w:rPr>
              <w:t>$</w:t>
            </w:r>
          </w:p>
        </w:tc>
        <w:tc>
          <w:tcPr>
            <w:tcW w:w="1985" w:type="dxa"/>
          </w:tcPr>
          <w:p w14:paraId="6C6884F5" w14:textId="77777777" w:rsidR="00987F88" w:rsidRPr="006255A3" w:rsidRDefault="00987F88" w:rsidP="00F65E6B">
            <w:pPr>
              <w:pStyle w:val="NoSpacing"/>
              <w:jc w:val="center"/>
              <w:rPr>
                <w:b/>
                <w:sz w:val="6"/>
                <w:szCs w:val="6"/>
              </w:rPr>
            </w:pPr>
          </w:p>
          <w:p w14:paraId="00C1A451" w14:textId="77777777" w:rsidR="00987F88" w:rsidRPr="00C5080F" w:rsidRDefault="00987F88" w:rsidP="00F65E6B">
            <w:pPr>
              <w:pStyle w:val="NoSpacing"/>
              <w:jc w:val="center"/>
              <w:rPr>
                <w:b/>
              </w:rPr>
            </w:pPr>
            <w:r>
              <w:rPr>
                <w:b/>
              </w:rPr>
              <w:t>$</w:t>
            </w:r>
          </w:p>
        </w:tc>
      </w:tr>
      <w:tr w:rsidR="00987F88" w14:paraId="1FFE7329" w14:textId="77777777" w:rsidTr="00F65E6B">
        <w:tc>
          <w:tcPr>
            <w:tcW w:w="3823" w:type="dxa"/>
          </w:tcPr>
          <w:p w14:paraId="0D89EC6C" w14:textId="77777777" w:rsidR="00987F88" w:rsidRPr="006255A3" w:rsidRDefault="00987F88" w:rsidP="00F65E6B">
            <w:pPr>
              <w:pStyle w:val="NoSpacing"/>
              <w:rPr>
                <w:sz w:val="6"/>
                <w:szCs w:val="6"/>
              </w:rPr>
            </w:pPr>
          </w:p>
          <w:p w14:paraId="7F3F9E5F" w14:textId="77777777" w:rsidR="00987F88" w:rsidRDefault="00987F88" w:rsidP="00F65E6B">
            <w:pPr>
              <w:pStyle w:val="NoSpacing"/>
            </w:pPr>
            <w:r>
              <w:t>Van</w:t>
            </w:r>
          </w:p>
          <w:p w14:paraId="46AB8E5F" w14:textId="77777777" w:rsidR="00987F88" w:rsidRPr="006255A3" w:rsidRDefault="00987F88" w:rsidP="00F65E6B">
            <w:pPr>
              <w:pStyle w:val="NoSpacing"/>
              <w:rPr>
                <w:sz w:val="6"/>
                <w:szCs w:val="6"/>
              </w:rPr>
            </w:pPr>
          </w:p>
        </w:tc>
        <w:tc>
          <w:tcPr>
            <w:tcW w:w="1984" w:type="dxa"/>
          </w:tcPr>
          <w:p w14:paraId="3E81AB4D" w14:textId="77777777" w:rsidR="00987F88" w:rsidRPr="006255A3" w:rsidRDefault="00987F88" w:rsidP="00F65E6B">
            <w:pPr>
              <w:pStyle w:val="NoSpacing"/>
              <w:jc w:val="right"/>
              <w:rPr>
                <w:sz w:val="6"/>
                <w:szCs w:val="6"/>
              </w:rPr>
            </w:pPr>
          </w:p>
          <w:p w14:paraId="0F958C2E" w14:textId="5B63BDC2" w:rsidR="00987F88" w:rsidRDefault="00CD1AE1" w:rsidP="00F65E6B">
            <w:pPr>
              <w:pStyle w:val="NoSpacing"/>
              <w:jc w:val="right"/>
            </w:pPr>
            <w:r>
              <w:t>32 000</w:t>
            </w:r>
          </w:p>
        </w:tc>
        <w:tc>
          <w:tcPr>
            <w:tcW w:w="1985" w:type="dxa"/>
          </w:tcPr>
          <w:p w14:paraId="772F8711" w14:textId="77777777" w:rsidR="00987F88" w:rsidRPr="006255A3" w:rsidRDefault="00987F88" w:rsidP="00F65E6B">
            <w:pPr>
              <w:pStyle w:val="NoSpacing"/>
              <w:jc w:val="right"/>
              <w:rPr>
                <w:sz w:val="6"/>
                <w:szCs w:val="6"/>
              </w:rPr>
            </w:pPr>
          </w:p>
          <w:p w14:paraId="755D8684" w14:textId="77777777" w:rsidR="00987F88" w:rsidRDefault="00987F88" w:rsidP="00F65E6B">
            <w:pPr>
              <w:pStyle w:val="NoSpacing"/>
              <w:jc w:val="right"/>
            </w:pPr>
          </w:p>
        </w:tc>
      </w:tr>
      <w:tr w:rsidR="00987F88" w14:paraId="409DBECF" w14:textId="77777777" w:rsidTr="00F65E6B">
        <w:tc>
          <w:tcPr>
            <w:tcW w:w="3823" w:type="dxa"/>
          </w:tcPr>
          <w:p w14:paraId="7F94B373" w14:textId="77777777" w:rsidR="00987F88" w:rsidRPr="006255A3" w:rsidRDefault="00987F88" w:rsidP="00F65E6B">
            <w:pPr>
              <w:pStyle w:val="NoSpacing"/>
              <w:rPr>
                <w:sz w:val="6"/>
                <w:szCs w:val="6"/>
              </w:rPr>
            </w:pPr>
          </w:p>
          <w:p w14:paraId="06B52E87" w14:textId="77777777" w:rsidR="00987F88" w:rsidRDefault="00987F88" w:rsidP="00F65E6B">
            <w:pPr>
              <w:pStyle w:val="NoSpacing"/>
            </w:pPr>
            <w:r>
              <w:t xml:space="preserve">Less: Accumulated Depreciation </w:t>
            </w:r>
          </w:p>
          <w:p w14:paraId="6FC6AC4F" w14:textId="77777777" w:rsidR="00987F88" w:rsidRPr="006255A3" w:rsidRDefault="00987F88" w:rsidP="00F65E6B">
            <w:pPr>
              <w:pStyle w:val="NoSpacing"/>
              <w:rPr>
                <w:sz w:val="6"/>
                <w:szCs w:val="6"/>
              </w:rPr>
            </w:pPr>
          </w:p>
        </w:tc>
        <w:tc>
          <w:tcPr>
            <w:tcW w:w="1984" w:type="dxa"/>
          </w:tcPr>
          <w:p w14:paraId="33CD468A" w14:textId="77777777" w:rsidR="00987F88" w:rsidRPr="006255A3" w:rsidRDefault="00987F88" w:rsidP="00F65E6B">
            <w:pPr>
              <w:pStyle w:val="NoSpacing"/>
              <w:jc w:val="right"/>
              <w:rPr>
                <w:sz w:val="6"/>
                <w:szCs w:val="6"/>
              </w:rPr>
            </w:pPr>
          </w:p>
          <w:p w14:paraId="6517EF14" w14:textId="2E623EBE" w:rsidR="00987F88" w:rsidRPr="00CD1AE1" w:rsidRDefault="00CD1AE1" w:rsidP="00F65E6B">
            <w:pPr>
              <w:pStyle w:val="NoSpacing"/>
              <w:jc w:val="right"/>
              <w:rPr>
                <w:szCs w:val="20"/>
              </w:rPr>
            </w:pPr>
            <w:r>
              <w:rPr>
                <w:szCs w:val="20"/>
              </w:rPr>
              <w:t>6 000</w:t>
            </w:r>
          </w:p>
        </w:tc>
        <w:tc>
          <w:tcPr>
            <w:tcW w:w="1985" w:type="dxa"/>
          </w:tcPr>
          <w:p w14:paraId="623BAF06" w14:textId="77777777" w:rsidR="00987F88" w:rsidRPr="006255A3" w:rsidRDefault="00987F88" w:rsidP="00F65E6B">
            <w:pPr>
              <w:pStyle w:val="NoSpacing"/>
              <w:jc w:val="right"/>
              <w:rPr>
                <w:sz w:val="6"/>
                <w:szCs w:val="6"/>
              </w:rPr>
            </w:pPr>
          </w:p>
          <w:p w14:paraId="26B67470" w14:textId="1CC6DD8F" w:rsidR="00987F88" w:rsidRDefault="00CD1AE1" w:rsidP="00F65E6B">
            <w:pPr>
              <w:pStyle w:val="NoSpacing"/>
              <w:jc w:val="right"/>
            </w:pPr>
            <w:r>
              <w:t>26 000</w:t>
            </w:r>
          </w:p>
        </w:tc>
      </w:tr>
    </w:tbl>
    <w:p w14:paraId="7EADE808" w14:textId="77777777" w:rsidR="00987F88" w:rsidRPr="00CC7BD8" w:rsidRDefault="00987F88" w:rsidP="00987F88">
      <w:pPr>
        <w:pStyle w:val="NoSpacing"/>
        <w:rPr>
          <w:rFonts w:cs="Tahoma"/>
          <w:b/>
          <w:szCs w:val="20"/>
        </w:rPr>
      </w:pPr>
    </w:p>
    <w:p w14:paraId="70AB7D21" w14:textId="77777777" w:rsidR="00987F88" w:rsidRPr="00CC7BD8" w:rsidRDefault="00987F88" w:rsidP="00987F88">
      <w:pPr>
        <w:pStyle w:val="NoSpacing"/>
        <w:numPr>
          <w:ilvl w:val="0"/>
          <w:numId w:val="1"/>
        </w:numPr>
        <w:jc w:val="left"/>
        <w:rPr>
          <w:rFonts w:cs="Tahoma"/>
          <w:b/>
        </w:rPr>
      </w:pPr>
      <w:r w:rsidRPr="00CC7BD8">
        <w:rPr>
          <w:rFonts w:cs="Tahoma"/>
          <w:b/>
        </w:rPr>
        <w:t xml:space="preserve">Explain what the carrying value in the Balance Sheet represents.    </w:t>
      </w:r>
    </w:p>
    <w:p w14:paraId="7DDD5076" w14:textId="16DB0DF0" w:rsidR="00987F88" w:rsidRDefault="00987F88" w:rsidP="00CC7BD8">
      <w:pPr>
        <w:pStyle w:val="NoSpacing"/>
        <w:rPr>
          <w:b/>
        </w:rPr>
      </w:pPr>
      <w:r>
        <w:rPr>
          <w:rFonts w:cs="Tahoma"/>
        </w:rPr>
        <w:t xml:space="preserve">  </w:t>
      </w:r>
    </w:p>
    <w:p w14:paraId="3A2FD5BD" w14:textId="0FF613FF" w:rsidR="00CD1AE1" w:rsidRPr="00782E83" w:rsidRDefault="00CD1AE1" w:rsidP="00CD1AE1">
      <w:pPr>
        <w:pStyle w:val="NoSpacing"/>
        <w:rPr>
          <w:rFonts w:cs="Tahoma"/>
        </w:rPr>
      </w:pPr>
      <w:r w:rsidRPr="00782E83">
        <w:rPr>
          <w:rFonts w:cs="Tahoma"/>
        </w:rPr>
        <w:t xml:space="preserve">The carrying value represents the future economic benefits yet to be consumed by the current owner plus the residual value being the future economic benefits that will be consumed by the next owner. </w:t>
      </w:r>
    </w:p>
    <w:p w14:paraId="2E64A9F1" w14:textId="77777777" w:rsidR="00987F88" w:rsidRDefault="00987F88" w:rsidP="00987F88">
      <w:pPr>
        <w:pStyle w:val="NoSpacing"/>
        <w:rPr>
          <w:b/>
        </w:rPr>
      </w:pPr>
    </w:p>
    <w:p w14:paraId="66D84BC1" w14:textId="77777777" w:rsidR="00987F88" w:rsidRDefault="00987F88" w:rsidP="00987F88">
      <w:pPr>
        <w:pStyle w:val="NoSpacing"/>
        <w:rPr>
          <w:b/>
        </w:rPr>
      </w:pPr>
    </w:p>
    <w:p w14:paraId="12DF16B7" w14:textId="77777777" w:rsidR="00987F88" w:rsidRDefault="00987F88" w:rsidP="00987F88">
      <w:pPr>
        <w:pStyle w:val="NoSpacing"/>
        <w:rPr>
          <w:b/>
        </w:rPr>
      </w:pPr>
    </w:p>
    <w:p w14:paraId="47B87092" w14:textId="77777777" w:rsidR="00987F88" w:rsidRDefault="00987F88" w:rsidP="00987F88">
      <w:pPr>
        <w:pStyle w:val="NoSpacing"/>
        <w:rPr>
          <w:b/>
        </w:rPr>
      </w:pPr>
    </w:p>
    <w:sectPr w:rsidR="00987F88"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D2717"/>
    <w:multiLevelType w:val="hybridMultilevel"/>
    <w:tmpl w:val="40EADA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677AC8"/>
    <w:multiLevelType w:val="hybridMultilevel"/>
    <w:tmpl w:val="9962E3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AC3654"/>
    <w:multiLevelType w:val="hybridMultilevel"/>
    <w:tmpl w:val="54E0671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0392E14"/>
    <w:multiLevelType w:val="hybridMultilevel"/>
    <w:tmpl w:val="8E781AF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DAF7AB4"/>
    <w:multiLevelType w:val="hybridMultilevel"/>
    <w:tmpl w:val="24F06C6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8078449">
    <w:abstractNumId w:val="3"/>
  </w:num>
  <w:num w:numId="2" w16cid:durableId="900945070">
    <w:abstractNumId w:val="1"/>
  </w:num>
  <w:num w:numId="3" w16cid:durableId="1441678416">
    <w:abstractNumId w:val="4"/>
  </w:num>
  <w:num w:numId="4" w16cid:durableId="63456362">
    <w:abstractNumId w:val="0"/>
  </w:num>
  <w:num w:numId="5" w16cid:durableId="925840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A7"/>
    <w:rsid w:val="00165EA7"/>
    <w:rsid w:val="00404E8C"/>
    <w:rsid w:val="00441D05"/>
    <w:rsid w:val="00476FFB"/>
    <w:rsid w:val="005C768C"/>
    <w:rsid w:val="006428CA"/>
    <w:rsid w:val="006B3930"/>
    <w:rsid w:val="00742E0B"/>
    <w:rsid w:val="008D7E6D"/>
    <w:rsid w:val="00987F88"/>
    <w:rsid w:val="009F2E28"/>
    <w:rsid w:val="00A314C2"/>
    <w:rsid w:val="00B90BA0"/>
    <w:rsid w:val="00BB2F1F"/>
    <w:rsid w:val="00CC7BD8"/>
    <w:rsid w:val="00CD1AE1"/>
    <w:rsid w:val="00FB7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A05E"/>
  <w15:chartTrackingRefBased/>
  <w15:docId w15:val="{3EE8F5C1-DD15-5F4C-85FA-F2E1664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E8C"/>
    <w:pPr>
      <w:keepNext/>
      <w:outlineLvl w:val="0"/>
    </w:pPr>
    <w:rPr>
      <w:rFonts w:ascii="Eras Bold ITC" w:eastAsia="Times New Roman" w:hAnsi="Eras Bold ITC" w:cs="Arial"/>
      <w:b/>
      <w:bCs/>
      <w:kern w:val="32"/>
      <w:sz w:val="26"/>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E8C"/>
    <w:rPr>
      <w:rFonts w:ascii="Eras Bold ITC" w:eastAsia="Times New Roman" w:hAnsi="Eras Bold ITC" w:cs="Arial"/>
      <w:b/>
      <w:bCs/>
      <w:kern w:val="32"/>
      <w:sz w:val="26"/>
      <w:szCs w:val="32"/>
      <w:lang w:eastAsia="en-AU"/>
    </w:rPr>
  </w:style>
  <w:style w:type="paragraph" w:styleId="NoSpacing">
    <w:name w:val="No Spacing"/>
    <w:uiPriority w:val="99"/>
    <w:qFormat/>
    <w:rsid w:val="00404E8C"/>
    <w:pPr>
      <w:jc w:val="both"/>
    </w:pPr>
    <w:rPr>
      <w:rFonts w:ascii="Tahoma" w:eastAsiaTheme="minorEastAsia" w:hAnsi="Tahoma"/>
      <w:sz w:val="20"/>
      <w:szCs w:val="22"/>
      <w:lang w:eastAsia="en-AU"/>
    </w:rPr>
  </w:style>
  <w:style w:type="table" w:styleId="TableGrid">
    <w:name w:val="Table Grid"/>
    <w:basedOn w:val="TableNormal"/>
    <w:uiPriority w:val="99"/>
    <w:rsid w:val="00987F8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8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987F88"/>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2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Romeo Salla</cp:lastModifiedBy>
  <cp:revision>13</cp:revision>
  <dcterms:created xsi:type="dcterms:W3CDTF">2019-01-30T00:53:00Z</dcterms:created>
  <dcterms:modified xsi:type="dcterms:W3CDTF">2025-01-15T01:00:00Z</dcterms:modified>
</cp:coreProperties>
</file>