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FCFBE" w14:textId="177717ED" w:rsidR="00BB2F1F" w:rsidRDefault="00165EA7">
      <w:pPr>
        <w:rPr>
          <w:rFonts w:ascii="Tahoma" w:hAnsi="Tahoma" w:cs="Tahoma"/>
          <w:b/>
          <w:sz w:val="20"/>
          <w:szCs w:val="20"/>
        </w:rPr>
      </w:pPr>
      <w:r>
        <w:rPr>
          <w:rFonts w:ascii="Tahoma" w:hAnsi="Tahoma" w:cs="Tahoma"/>
          <w:b/>
          <w:sz w:val="20"/>
          <w:szCs w:val="20"/>
        </w:rPr>
        <w:t xml:space="preserve">APPLICATION EXERCISE </w:t>
      </w:r>
      <w:r w:rsidR="00AC5E22">
        <w:rPr>
          <w:rFonts w:ascii="Tahoma" w:hAnsi="Tahoma" w:cs="Tahoma"/>
          <w:b/>
          <w:sz w:val="20"/>
          <w:szCs w:val="20"/>
        </w:rPr>
        <w:t>7</w:t>
      </w:r>
      <w:r>
        <w:rPr>
          <w:rFonts w:ascii="Tahoma" w:hAnsi="Tahoma" w:cs="Tahoma"/>
          <w:b/>
          <w:sz w:val="20"/>
          <w:szCs w:val="20"/>
        </w:rPr>
        <w:t xml:space="preserve"> – SUGGESTED SOLUTION</w:t>
      </w:r>
    </w:p>
    <w:p w14:paraId="6F186A41" w14:textId="16B129DD" w:rsidR="004B3BB7" w:rsidRPr="00F1775F" w:rsidRDefault="004B3BB7">
      <w:pPr>
        <w:rPr>
          <w:rFonts w:ascii="Tahoma" w:hAnsi="Tahoma" w:cs="Tahoma"/>
          <w:b/>
          <w:sz w:val="20"/>
          <w:szCs w:val="20"/>
        </w:rPr>
      </w:pPr>
    </w:p>
    <w:p w14:paraId="44A73320" w14:textId="77777777" w:rsidR="004B3BB7" w:rsidRPr="00F1775F" w:rsidRDefault="004B3BB7" w:rsidP="004B3BB7">
      <w:pPr>
        <w:pStyle w:val="NoSpacing"/>
        <w:numPr>
          <w:ilvl w:val="0"/>
          <w:numId w:val="1"/>
        </w:numPr>
        <w:jc w:val="left"/>
        <w:rPr>
          <w:rFonts w:cs="Tahoma"/>
          <w:b/>
        </w:rPr>
      </w:pPr>
      <w:r w:rsidRPr="00F1775F">
        <w:rPr>
          <w:rFonts w:cs="Tahoma"/>
          <w:b/>
        </w:rPr>
        <w:t xml:space="preserve">Using product costing, </w:t>
      </w:r>
      <w:r w:rsidRPr="00F1775F">
        <w:rPr>
          <w:rFonts w:cs="Tahoma"/>
          <w:b/>
          <w:bCs/>
        </w:rPr>
        <w:t>record</w:t>
      </w:r>
      <w:r w:rsidRPr="00F1775F">
        <w:rPr>
          <w:rFonts w:cs="Tahoma"/>
          <w:b/>
        </w:rPr>
        <w:t xml:space="preserve"> Invoice 2461 into the General Journal. </w:t>
      </w:r>
    </w:p>
    <w:p w14:paraId="5D612485" w14:textId="77777777" w:rsidR="004B3BB7" w:rsidRPr="00F1775F" w:rsidRDefault="004B3BB7" w:rsidP="004B3BB7">
      <w:pPr>
        <w:pStyle w:val="NoSpacing"/>
        <w:rPr>
          <w:rFonts w:cs="Tahoma"/>
          <w:b/>
          <w:sz w:val="10"/>
          <w:szCs w:val="10"/>
        </w:rPr>
      </w:pPr>
    </w:p>
    <w:p w14:paraId="72C2F09C" w14:textId="77777777" w:rsidR="004B3BB7" w:rsidRPr="00F1775F" w:rsidRDefault="004B3BB7" w:rsidP="004B3BB7">
      <w:pPr>
        <w:pStyle w:val="NoSpacing"/>
        <w:ind w:firstLine="360"/>
        <w:rPr>
          <w:rFonts w:cs="Tahoma"/>
          <w:b/>
        </w:rPr>
      </w:pPr>
      <w:r w:rsidRPr="00F1775F">
        <w:rPr>
          <w:rFonts w:cs="Tahoma"/>
          <w:b/>
        </w:rPr>
        <w:t xml:space="preserve">A narration is </w:t>
      </w:r>
      <w:r w:rsidRPr="00F1775F">
        <w:rPr>
          <w:rFonts w:cs="Tahoma"/>
          <w:b/>
          <w:bCs/>
        </w:rPr>
        <w:t xml:space="preserve">not </w:t>
      </w:r>
      <w:r w:rsidRPr="00F1775F">
        <w:rPr>
          <w:rFonts w:cs="Tahoma"/>
          <w:b/>
        </w:rPr>
        <w:t>required.</w:t>
      </w:r>
    </w:p>
    <w:p w14:paraId="3B9578E6" w14:textId="77777777" w:rsidR="004B3BB7" w:rsidRDefault="004B3BB7" w:rsidP="004B3BB7">
      <w:pPr>
        <w:pStyle w:val="NoSpacing"/>
        <w:jc w:val="right"/>
        <w:rPr>
          <w:rFonts w:cs="Tahoma"/>
        </w:rPr>
      </w:pPr>
    </w:p>
    <w:p w14:paraId="704BDC81" w14:textId="77777777" w:rsidR="004B3BB7" w:rsidRPr="00C00EC1" w:rsidRDefault="004B3BB7" w:rsidP="004B3BB7">
      <w:pPr>
        <w:pStyle w:val="NoSpacing"/>
        <w:rPr>
          <w:rFonts w:cs="Tahoma"/>
          <w:b/>
        </w:rPr>
      </w:pPr>
      <w:r w:rsidRPr="00C00EC1">
        <w:rPr>
          <w:rFonts w:cs="Tahoma"/>
          <w:b/>
        </w:rPr>
        <w:t>General Journal</w:t>
      </w:r>
    </w:p>
    <w:p w14:paraId="29572F9C" w14:textId="77777777" w:rsidR="004B3BB7" w:rsidRPr="00C00EC1" w:rsidRDefault="004B3BB7" w:rsidP="004B3BB7">
      <w:pPr>
        <w:pStyle w:val="NoSpacing"/>
        <w:rPr>
          <w:rFonts w:cs="Tahoma"/>
          <w:b/>
          <w:sz w:val="10"/>
          <w:szCs w:val="10"/>
        </w:rPr>
      </w:pPr>
    </w:p>
    <w:tbl>
      <w:tblPr>
        <w:tblStyle w:val="TableGrid"/>
        <w:tblW w:w="0" w:type="auto"/>
        <w:tblLook w:val="04A0" w:firstRow="1" w:lastRow="0" w:firstColumn="1" w:lastColumn="0" w:noHBand="0" w:noVBand="1"/>
      </w:tblPr>
      <w:tblGrid>
        <w:gridCol w:w="1047"/>
        <w:gridCol w:w="4821"/>
        <w:gridCol w:w="1622"/>
        <w:gridCol w:w="1520"/>
      </w:tblGrid>
      <w:tr w:rsidR="004B3BB7" w:rsidRPr="00C00EC1" w14:paraId="758A1E37" w14:textId="77777777" w:rsidTr="00AC5E22">
        <w:tc>
          <w:tcPr>
            <w:tcW w:w="1047" w:type="dxa"/>
          </w:tcPr>
          <w:p w14:paraId="10CA3922" w14:textId="77777777" w:rsidR="004B3BB7" w:rsidRPr="00C00EC1" w:rsidRDefault="004B3BB7" w:rsidP="002F05C0">
            <w:pPr>
              <w:pStyle w:val="NoSpacing"/>
              <w:jc w:val="center"/>
              <w:rPr>
                <w:rFonts w:cs="Tahoma"/>
                <w:b/>
                <w:sz w:val="10"/>
                <w:szCs w:val="10"/>
              </w:rPr>
            </w:pPr>
          </w:p>
          <w:p w14:paraId="38FE8F70" w14:textId="77777777" w:rsidR="004B3BB7" w:rsidRPr="00C00EC1" w:rsidRDefault="004B3BB7" w:rsidP="002F05C0">
            <w:pPr>
              <w:pStyle w:val="NoSpacing"/>
              <w:jc w:val="center"/>
              <w:rPr>
                <w:rFonts w:cs="Tahoma"/>
                <w:b/>
              </w:rPr>
            </w:pPr>
            <w:r w:rsidRPr="00C00EC1">
              <w:rPr>
                <w:rFonts w:cs="Tahoma"/>
                <w:b/>
              </w:rPr>
              <w:t>Date</w:t>
            </w:r>
          </w:p>
          <w:p w14:paraId="18D19D79" w14:textId="77777777" w:rsidR="004B3BB7" w:rsidRPr="00C00EC1" w:rsidRDefault="004B3BB7" w:rsidP="002F05C0">
            <w:pPr>
              <w:pStyle w:val="NoSpacing"/>
              <w:jc w:val="center"/>
              <w:rPr>
                <w:rFonts w:cs="Tahoma"/>
                <w:b/>
                <w:sz w:val="10"/>
                <w:szCs w:val="10"/>
              </w:rPr>
            </w:pPr>
          </w:p>
        </w:tc>
        <w:tc>
          <w:tcPr>
            <w:tcW w:w="4821" w:type="dxa"/>
          </w:tcPr>
          <w:p w14:paraId="3C92E002" w14:textId="77777777" w:rsidR="004B3BB7" w:rsidRPr="00C00EC1" w:rsidRDefault="004B3BB7" w:rsidP="002F05C0">
            <w:pPr>
              <w:pStyle w:val="NoSpacing"/>
              <w:rPr>
                <w:rFonts w:cs="Tahoma"/>
                <w:b/>
                <w:sz w:val="10"/>
                <w:szCs w:val="10"/>
              </w:rPr>
            </w:pPr>
          </w:p>
          <w:p w14:paraId="69A87747" w14:textId="77777777" w:rsidR="004B3BB7" w:rsidRPr="00C00EC1" w:rsidRDefault="004B3BB7" w:rsidP="002F05C0">
            <w:pPr>
              <w:pStyle w:val="NoSpacing"/>
              <w:rPr>
                <w:rFonts w:cs="Tahoma"/>
                <w:b/>
              </w:rPr>
            </w:pPr>
            <w:r w:rsidRPr="00C00EC1">
              <w:rPr>
                <w:rFonts w:cs="Tahoma"/>
                <w:b/>
              </w:rPr>
              <w:t>Details</w:t>
            </w:r>
          </w:p>
        </w:tc>
        <w:tc>
          <w:tcPr>
            <w:tcW w:w="1622" w:type="dxa"/>
          </w:tcPr>
          <w:p w14:paraId="7EF4D4BA" w14:textId="77777777" w:rsidR="004B3BB7" w:rsidRPr="00C00EC1" w:rsidRDefault="004B3BB7" w:rsidP="002F05C0">
            <w:pPr>
              <w:pStyle w:val="NoSpacing"/>
              <w:jc w:val="center"/>
              <w:rPr>
                <w:rFonts w:cs="Tahoma"/>
                <w:b/>
                <w:sz w:val="10"/>
                <w:szCs w:val="10"/>
              </w:rPr>
            </w:pPr>
          </w:p>
          <w:p w14:paraId="1191E008" w14:textId="77777777" w:rsidR="004B3BB7" w:rsidRPr="00C00EC1" w:rsidRDefault="004B3BB7" w:rsidP="002F05C0">
            <w:pPr>
              <w:pStyle w:val="NoSpacing"/>
              <w:jc w:val="center"/>
              <w:rPr>
                <w:rFonts w:cs="Tahoma"/>
                <w:b/>
              </w:rPr>
            </w:pPr>
            <w:r w:rsidRPr="00C00EC1">
              <w:rPr>
                <w:rFonts w:cs="Tahoma"/>
                <w:b/>
              </w:rPr>
              <w:t>Debit</w:t>
            </w:r>
          </w:p>
        </w:tc>
        <w:tc>
          <w:tcPr>
            <w:tcW w:w="1520" w:type="dxa"/>
          </w:tcPr>
          <w:p w14:paraId="244C3B25" w14:textId="77777777" w:rsidR="004B3BB7" w:rsidRPr="00C00EC1" w:rsidRDefault="004B3BB7" w:rsidP="002F05C0">
            <w:pPr>
              <w:pStyle w:val="NoSpacing"/>
              <w:jc w:val="center"/>
              <w:rPr>
                <w:rFonts w:cs="Tahoma"/>
                <w:b/>
                <w:sz w:val="10"/>
                <w:szCs w:val="10"/>
              </w:rPr>
            </w:pPr>
          </w:p>
          <w:p w14:paraId="1B85C2AD" w14:textId="77777777" w:rsidR="004B3BB7" w:rsidRPr="00C00EC1" w:rsidRDefault="004B3BB7" w:rsidP="002F05C0">
            <w:pPr>
              <w:pStyle w:val="NoSpacing"/>
              <w:jc w:val="center"/>
              <w:rPr>
                <w:rFonts w:cs="Tahoma"/>
                <w:b/>
              </w:rPr>
            </w:pPr>
            <w:r w:rsidRPr="00C00EC1">
              <w:rPr>
                <w:rFonts w:cs="Tahoma"/>
                <w:b/>
              </w:rPr>
              <w:t>Credit</w:t>
            </w:r>
          </w:p>
        </w:tc>
      </w:tr>
      <w:tr w:rsidR="004B3BB7" w:rsidRPr="00AC5E22" w14:paraId="4C537F62" w14:textId="77777777" w:rsidTr="00AC5E22">
        <w:tc>
          <w:tcPr>
            <w:tcW w:w="1047" w:type="dxa"/>
          </w:tcPr>
          <w:p w14:paraId="29B69040" w14:textId="77777777" w:rsidR="004B3BB7" w:rsidRPr="005F469F" w:rsidRDefault="004B3BB7" w:rsidP="00AC5E22">
            <w:pPr>
              <w:pStyle w:val="NoSpacing"/>
              <w:jc w:val="center"/>
              <w:rPr>
                <w:rFonts w:cs="Tahoma"/>
                <w:sz w:val="10"/>
                <w:szCs w:val="10"/>
              </w:rPr>
            </w:pPr>
          </w:p>
          <w:p w14:paraId="3E541029" w14:textId="4FC9AB17" w:rsidR="00AC5E22" w:rsidRDefault="00AC5E22" w:rsidP="00AC5E22">
            <w:pPr>
              <w:pStyle w:val="NoSpacing"/>
              <w:jc w:val="center"/>
              <w:rPr>
                <w:rFonts w:cs="Tahoma"/>
                <w:szCs w:val="20"/>
              </w:rPr>
            </w:pPr>
            <w:r>
              <w:rPr>
                <w:rFonts w:cs="Tahoma"/>
                <w:szCs w:val="20"/>
              </w:rPr>
              <w:t>29/06</w:t>
            </w:r>
          </w:p>
          <w:p w14:paraId="4EB62D19" w14:textId="5BC8B852" w:rsidR="00AC5E22" w:rsidRPr="005F469F" w:rsidRDefault="00AC5E22" w:rsidP="00AC5E22">
            <w:pPr>
              <w:pStyle w:val="NoSpacing"/>
              <w:jc w:val="center"/>
              <w:rPr>
                <w:rFonts w:cs="Tahoma"/>
                <w:sz w:val="10"/>
                <w:szCs w:val="10"/>
              </w:rPr>
            </w:pPr>
          </w:p>
        </w:tc>
        <w:tc>
          <w:tcPr>
            <w:tcW w:w="4821" w:type="dxa"/>
          </w:tcPr>
          <w:p w14:paraId="30075154" w14:textId="77777777" w:rsidR="004B3BB7" w:rsidRPr="005F469F" w:rsidRDefault="004B3BB7" w:rsidP="002F05C0">
            <w:pPr>
              <w:pStyle w:val="NoSpacing"/>
              <w:rPr>
                <w:rFonts w:cs="Tahoma"/>
                <w:sz w:val="10"/>
                <w:szCs w:val="10"/>
              </w:rPr>
            </w:pPr>
          </w:p>
          <w:p w14:paraId="41E9073F" w14:textId="587B900E" w:rsidR="00AC5E22" w:rsidRDefault="00AC5E22" w:rsidP="002F05C0">
            <w:pPr>
              <w:pStyle w:val="NoSpacing"/>
              <w:rPr>
                <w:rFonts w:cs="Tahoma"/>
                <w:szCs w:val="20"/>
              </w:rPr>
            </w:pPr>
            <w:r>
              <w:rPr>
                <w:rFonts w:cs="Tahoma"/>
                <w:szCs w:val="20"/>
              </w:rPr>
              <w:t>Inventory</w:t>
            </w:r>
          </w:p>
          <w:p w14:paraId="3DED0182" w14:textId="23C7C54E" w:rsidR="00AC5E22" w:rsidRPr="005F469F" w:rsidRDefault="00AC5E22" w:rsidP="002F05C0">
            <w:pPr>
              <w:pStyle w:val="NoSpacing"/>
              <w:rPr>
                <w:rFonts w:cs="Tahoma"/>
                <w:sz w:val="10"/>
                <w:szCs w:val="10"/>
              </w:rPr>
            </w:pPr>
          </w:p>
        </w:tc>
        <w:tc>
          <w:tcPr>
            <w:tcW w:w="1622" w:type="dxa"/>
          </w:tcPr>
          <w:p w14:paraId="23D77350" w14:textId="77777777" w:rsidR="004B3BB7" w:rsidRPr="005F469F" w:rsidRDefault="004B3BB7" w:rsidP="005F469F">
            <w:pPr>
              <w:pStyle w:val="NoSpacing"/>
              <w:jc w:val="right"/>
              <w:rPr>
                <w:rFonts w:cs="Tahoma"/>
                <w:sz w:val="10"/>
                <w:szCs w:val="10"/>
              </w:rPr>
            </w:pPr>
          </w:p>
          <w:p w14:paraId="485FA182" w14:textId="41867B48" w:rsidR="005F469F" w:rsidRPr="00AC5E22" w:rsidRDefault="005F469F" w:rsidP="005F469F">
            <w:pPr>
              <w:pStyle w:val="NoSpacing"/>
              <w:jc w:val="right"/>
              <w:rPr>
                <w:rFonts w:cs="Tahoma"/>
                <w:szCs w:val="20"/>
              </w:rPr>
            </w:pPr>
            <w:r>
              <w:rPr>
                <w:rFonts w:cs="Tahoma"/>
                <w:szCs w:val="20"/>
              </w:rPr>
              <w:t>2 930</w:t>
            </w:r>
          </w:p>
        </w:tc>
        <w:tc>
          <w:tcPr>
            <w:tcW w:w="1520" w:type="dxa"/>
          </w:tcPr>
          <w:p w14:paraId="17C3C46E" w14:textId="77777777" w:rsidR="004B3BB7" w:rsidRPr="00AC5E22" w:rsidRDefault="004B3BB7" w:rsidP="005F469F">
            <w:pPr>
              <w:pStyle w:val="NoSpacing"/>
              <w:jc w:val="right"/>
              <w:rPr>
                <w:rFonts w:cs="Tahoma"/>
                <w:szCs w:val="20"/>
              </w:rPr>
            </w:pPr>
          </w:p>
        </w:tc>
      </w:tr>
      <w:tr w:rsidR="004B3BB7" w:rsidRPr="00AC5E22" w14:paraId="46B4BFCB" w14:textId="77777777" w:rsidTr="00AC5E22">
        <w:tc>
          <w:tcPr>
            <w:tcW w:w="1047" w:type="dxa"/>
          </w:tcPr>
          <w:p w14:paraId="3A4AC11F" w14:textId="77777777" w:rsidR="004B3BB7" w:rsidRPr="00AC5E22" w:rsidRDefault="004B3BB7" w:rsidP="00AC5E22">
            <w:pPr>
              <w:pStyle w:val="NoSpacing"/>
              <w:jc w:val="center"/>
              <w:rPr>
                <w:rFonts w:cs="Tahoma"/>
                <w:szCs w:val="20"/>
              </w:rPr>
            </w:pPr>
          </w:p>
        </w:tc>
        <w:tc>
          <w:tcPr>
            <w:tcW w:w="4821" w:type="dxa"/>
          </w:tcPr>
          <w:p w14:paraId="4154154A" w14:textId="77777777" w:rsidR="004B3BB7" w:rsidRPr="005F469F" w:rsidRDefault="004B3BB7" w:rsidP="002F05C0">
            <w:pPr>
              <w:pStyle w:val="NoSpacing"/>
              <w:rPr>
                <w:rFonts w:cs="Tahoma"/>
                <w:sz w:val="10"/>
                <w:szCs w:val="10"/>
              </w:rPr>
            </w:pPr>
          </w:p>
          <w:p w14:paraId="0A92D149" w14:textId="5BE07E7E" w:rsidR="00AC5E22" w:rsidRDefault="00AC5E22" w:rsidP="002F05C0">
            <w:pPr>
              <w:pStyle w:val="NoSpacing"/>
              <w:rPr>
                <w:rFonts w:cs="Tahoma"/>
                <w:szCs w:val="20"/>
              </w:rPr>
            </w:pPr>
            <w:r>
              <w:rPr>
                <w:rFonts w:cs="Tahoma"/>
                <w:szCs w:val="20"/>
              </w:rPr>
              <w:t>Cartage Inwards</w:t>
            </w:r>
          </w:p>
          <w:p w14:paraId="60DF9907" w14:textId="51C1958B" w:rsidR="00AC5E22" w:rsidRPr="005F469F" w:rsidRDefault="00AC5E22" w:rsidP="002F05C0">
            <w:pPr>
              <w:pStyle w:val="NoSpacing"/>
              <w:rPr>
                <w:rFonts w:cs="Tahoma"/>
                <w:sz w:val="10"/>
                <w:szCs w:val="10"/>
              </w:rPr>
            </w:pPr>
          </w:p>
        </w:tc>
        <w:tc>
          <w:tcPr>
            <w:tcW w:w="1622" w:type="dxa"/>
          </w:tcPr>
          <w:p w14:paraId="22DE860B" w14:textId="77777777" w:rsidR="004B3BB7" w:rsidRPr="005F469F" w:rsidRDefault="004B3BB7" w:rsidP="005F469F">
            <w:pPr>
              <w:pStyle w:val="NoSpacing"/>
              <w:jc w:val="right"/>
              <w:rPr>
                <w:rFonts w:cs="Tahoma"/>
                <w:sz w:val="10"/>
                <w:szCs w:val="10"/>
              </w:rPr>
            </w:pPr>
          </w:p>
          <w:p w14:paraId="7CFE886B" w14:textId="351C3406" w:rsidR="005F469F" w:rsidRPr="00AC5E22" w:rsidRDefault="005F469F" w:rsidP="005F469F">
            <w:pPr>
              <w:pStyle w:val="NoSpacing"/>
              <w:jc w:val="right"/>
              <w:rPr>
                <w:rFonts w:cs="Tahoma"/>
                <w:szCs w:val="20"/>
              </w:rPr>
            </w:pPr>
            <w:r>
              <w:rPr>
                <w:rFonts w:cs="Tahoma"/>
                <w:szCs w:val="20"/>
              </w:rPr>
              <w:t>70</w:t>
            </w:r>
          </w:p>
        </w:tc>
        <w:tc>
          <w:tcPr>
            <w:tcW w:w="1520" w:type="dxa"/>
          </w:tcPr>
          <w:p w14:paraId="4BC459C5" w14:textId="77777777" w:rsidR="004B3BB7" w:rsidRPr="00AC5E22" w:rsidRDefault="004B3BB7" w:rsidP="005F469F">
            <w:pPr>
              <w:pStyle w:val="NoSpacing"/>
              <w:jc w:val="right"/>
              <w:rPr>
                <w:rFonts w:cs="Tahoma"/>
                <w:szCs w:val="20"/>
              </w:rPr>
            </w:pPr>
          </w:p>
        </w:tc>
      </w:tr>
      <w:tr w:rsidR="004B3BB7" w:rsidRPr="00AC5E22" w14:paraId="0A8B1325" w14:textId="77777777" w:rsidTr="00AC5E22">
        <w:tc>
          <w:tcPr>
            <w:tcW w:w="1047" w:type="dxa"/>
          </w:tcPr>
          <w:p w14:paraId="1F2EB7CC" w14:textId="77777777" w:rsidR="004B3BB7" w:rsidRPr="00AC5E22" w:rsidRDefault="004B3BB7" w:rsidP="00AC5E22">
            <w:pPr>
              <w:pStyle w:val="NoSpacing"/>
              <w:jc w:val="center"/>
              <w:rPr>
                <w:rFonts w:cs="Tahoma"/>
                <w:szCs w:val="20"/>
              </w:rPr>
            </w:pPr>
          </w:p>
        </w:tc>
        <w:tc>
          <w:tcPr>
            <w:tcW w:w="4821" w:type="dxa"/>
          </w:tcPr>
          <w:p w14:paraId="187C968F" w14:textId="77777777" w:rsidR="004B3BB7" w:rsidRPr="005F469F" w:rsidRDefault="004B3BB7" w:rsidP="002F05C0">
            <w:pPr>
              <w:pStyle w:val="NoSpacing"/>
              <w:rPr>
                <w:rFonts w:cs="Tahoma"/>
                <w:sz w:val="10"/>
                <w:szCs w:val="10"/>
              </w:rPr>
            </w:pPr>
          </w:p>
          <w:p w14:paraId="25B10D81" w14:textId="0FC84B8A" w:rsidR="00AC5E22" w:rsidRDefault="00AC5E22" w:rsidP="002F05C0">
            <w:pPr>
              <w:pStyle w:val="NoSpacing"/>
              <w:rPr>
                <w:rFonts w:cs="Tahoma"/>
                <w:szCs w:val="20"/>
              </w:rPr>
            </w:pPr>
            <w:r>
              <w:rPr>
                <w:rFonts w:cs="Tahoma"/>
                <w:szCs w:val="20"/>
              </w:rPr>
              <w:t>GST Clearing</w:t>
            </w:r>
          </w:p>
          <w:p w14:paraId="5E4DD9E9" w14:textId="7EA89D8C" w:rsidR="00AC5E22" w:rsidRPr="005F469F" w:rsidRDefault="00AC5E22" w:rsidP="002F05C0">
            <w:pPr>
              <w:pStyle w:val="NoSpacing"/>
              <w:rPr>
                <w:rFonts w:cs="Tahoma"/>
                <w:sz w:val="10"/>
                <w:szCs w:val="10"/>
              </w:rPr>
            </w:pPr>
          </w:p>
        </w:tc>
        <w:tc>
          <w:tcPr>
            <w:tcW w:w="1622" w:type="dxa"/>
          </w:tcPr>
          <w:p w14:paraId="4C1D9997" w14:textId="77777777" w:rsidR="004B3BB7" w:rsidRPr="005F469F" w:rsidRDefault="004B3BB7" w:rsidP="005F469F">
            <w:pPr>
              <w:pStyle w:val="NoSpacing"/>
              <w:jc w:val="right"/>
              <w:rPr>
                <w:rFonts w:cs="Tahoma"/>
                <w:sz w:val="10"/>
                <w:szCs w:val="10"/>
              </w:rPr>
            </w:pPr>
          </w:p>
          <w:p w14:paraId="6BADA073" w14:textId="55099FBA" w:rsidR="005F469F" w:rsidRPr="00AC5E22" w:rsidRDefault="005F469F" w:rsidP="005F469F">
            <w:pPr>
              <w:pStyle w:val="NoSpacing"/>
              <w:jc w:val="right"/>
              <w:rPr>
                <w:rFonts w:cs="Tahoma"/>
                <w:szCs w:val="20"/>
              </w:rPr>
            </w:pPr>
            <w:r>
              <w:rPr>
                <w:rFonts w:cs="Tahoma"/>
                <w:szCs w:val="20"/>
              </w:rPr>
              <w:t>300</w:t>
            </w:r>
          </w:p>
        </w:tc>
        <w:tc>
          <w:tcPr>
            <w:tcW w:w="1520" w:type="dxa"/>
          </w:tcPr>
          <w:p w14:paraId="7EF14FB0" w14:textId="77777777" w:rsidR="004B3BB7" w:rsidRPr="00AC5E22" w:rsidRDefault="004B3BB7" w:rsidP="005F469F">
            <w:pPr>
              <w:pStyle w:val="NoSpacing"/>
              <w:jc w:val="right"/>
              <w:rPr>
                <w:rFonts w:cs="Tahoma"/>
                <w:szCs w:val="20"/>
              </w:rPr>
            </w:pPr>
          </w:p>
        </w:tc>
      </w:tr>
      <w:tr w:rsidR="004B3BB7" w:rsidRPr="00AC5E22" w14:paraId="6F43F4B3" w14:textId="77777777" w:rsidTr="00AC5E22">
        <w:tc>
          <w:tcPr>
            <w:tcW w:w="1047" w:type="dxa"/>
          </w:tcPr>
          <w:p w14:paraId="146A1DD4" w14:textId="77777777" w:rsidR="004B3BB7" w:rsidRPr="00AC5E22" w:rsidRDefault="004B3BB7" w:rsidP="00AC5E22">
            <w:pPr>
              <w:pStyle w:val="NoSpacing"/>
              <w:jc w:val="center"/>
              <w:rPr>
                <w:rFonts w:cs="Tahoma"/>
                <w:szCs w:val="20"/>
              </w:rPr>
            </w:pPr>
          </w:p>
        </w:tc>
        <w:tc>
          <w:tcPr>
            <w:tcW w:w="4821" w:type="dxa"/>
          </w:tcPr>
          <w:p w14:paraId="3C6B8B88" w14:textId="77777777" w:rsidR="004B3BB7" w:rsidRPr="005F469F" w:rsidRDefault="004B3BB7" w:rsidP="002F05C0">
            <w:pPr>
              <w:pStyle w:val="NoSpacing"/>
              <w:rPr>
                <w:rFonts w:cs="Tahoma"/>
                <w:sz w:val="10"/>
                <w:szCs w:val="10"/>
              </w:rPr>
            </w:pPr>
          </w:p>
          <w:p w14:paraId="6EF16074" w14:textId="6310C46A" w:rsidR="00AC5E22" w:rsidRDefault="00AC5E22" w:rsidP="002F05C0">
            <w:pPr>
              <w:pStyle w:val="NoSpacing"/>
              <w:rPr>
                <w:rFonts w:cs="Tahoma"/>
                <w:szCs w:val="20"/>
              </w:rPr>
            </w:pPr>
            <w:r>
              <w:rPr>
                <w:rFonts w:cs="Tahoma"/>
                <w:szCs w:val="20"/>
              </w:rPr>
              <w:t>Accounts Payable</w:t>
            </w:r>
          </w:p>
          <w:p w14:paraId="46070803" w14:textId="04D4B35B" w:rsidR="00AC5E22" w:rsidRPr="005F469F" w:rsidRDefault="00AC5E22" w:rsidP="002F05C0">
            <w:pPr>
              <w:pStyle w:val="NoSpacing"/>
              <w:rPr>
                <w:rFonts w:cs="Tahoma"/>
                <w:sz w:val="10"/>
                <w:szCs w:val="10"/>
              </w:rPr>
            </w:pPr>
          </w:p>
        </w:tc>
        <w:tc>
          <w:tcPr>
            <w:tcW w:w="1622" w:type="dxa"/>
          </w:tcPr>
          <w:p w14:paraId="16CB2532" w14:textId="77777777" w:rsidR="004B3BB7" w:rsidRPr="00AC5E22" w:rsidRDefault="004B3BB7" w:rsidP="005F469F">
            <w:pPr>
              <w:pStyle w:val="NoSpacing"/>
              <w:jc w:val="right"/>
              <w:rPr>
                <w:rFonts w:cs="Tahoma"/>
                <w:szCs w:val="20"/>
              </w:rPr>
            </w:pPr>
          </w:p>
        </w:tc>
        <w:tc>
          <w:tcPr>
            <w:tcW w:w="1520" w:type="dxa"/>
          </w:tcPr>
          <w:p w14:paraId="059C0AD2" w14:textId="77777777" w:rsidR="004B3BB7" w:rsidRPr="005F469F" w:rsidRDefault="004B3BB7" w:rsidP="005F469F">
            <w:pPr>
              <w:pStyle w:val="NoSpacing"/>
              <w:jc w:val="right"/>
              <w:rPr>
                <w:rFonts w:cs="Tahoma"/>
                <w:sz w:val="10"/>
                <w:szCs w:val="10"/>
              </w:rPr>
            </w:pPr>
          </w:p>
          <w:p w14:paraId="0A5EBB4B" w14:textId="2D833F28" w:rsidR="005F469F" w:rsidRPr="00AC5E22" w:rsidRDefault="005F469F" w:rsidP="005F469F">
            <w:pPr>
              <w:pStyle w:val="NoSpacing"/>
              <w:jc w:val="right"/>
              <w:rPr>
                <w:rFonts w:cs="Tahoma"/>
                <w:szCs w:val="20"/>
              </w:rPr>
            </w:pPr>
            <w:r>
              <w:rPr>
                <w:rFonts w:cs="Tahoma"/>
                <w:szCs w:val="20"/>
              </w:rPr>
              <w:t>3 300</w:t>
            </w:r>
          </w:p>
        </w:tc>
      </w:tr>
    </w:tbl>
    <w:p w14:paraId="1B5A0F18" w14:textId="77777777" w:rsidR="004B3BB7" w:rsidRPr="00EB5D2C" w:rsidRDefault="004B3BB7" w:rsidP="004B3BB7">
      <w:pPr>
        <w:pStyle w:val="NoSpacing"/>
        <w:rPr>
          <w:rFonts w:cs="Tahoma"/>
          <w:szCs w:val="20"/>
        </w:rPr>
      </w:pPr>
    </w:p>
    <w:p w14:paraId="6901C1F7" w14:textId="77777777" w:rsidR="004B3BB7" w:rsidRPr="00F1775F" w:rsidRDefault="004B3BB7" w:rsidP="004B3BB7">
      <w:pPr>
        <w:pStyle w:val="NoSpacing"/>
        <w:numPr>
          <w:ilvl w:val="0"/>
          <w:numId w:val="1"/>
        </w:numPr>
        <w:jc w:val="left"/>
        <w:rPr>
          <w:rFonts w:cs="Tahoma"/>
          <w:b/>
        </w:rPr>
      </w:pPr>
      <w:r w:rsidRPr="00F1775F">
        <w:rPr>
          <w:rFonts w:cs="Tahoma"/>
          <w:b/>
        </w:rPr>
        <w:t>Explain the effect on the Balance Sheet if Padma’s Pots uses period costing instead of product costing.</w:t>
      </w:r>
    </w:p>
    <w:p w14:paraId="21DD51DE" w14:textId="77777777" w:rsidR="00F1775F" w:rsidRDefault="00F1775F" w:rsidP="00F1775F">
      <w:pPr>
        <w:pStyle w:val="NoSpacing"/>
      </w:pPr>
    </w:p>
    <w:p w14:paraId="4E3162C0" w14:textId="30EA26C0" w:rsidR="006C7FA3" w:rsidRPr="006C7FA3" w:rsidRDefault="006C7FA3" w:rsidP="006C7FA3">
      <w:pPr>
        <w:spacing w:before="120"/>
        <w:rPr>
          <w:rFonts w:ascii="Tahoma" w:hAnsi="Tahoma" w:cs="Tahoma"/>
          <w:b/>
          <w:sz w:val="20"/>
          <w:szCs w:val="20"/>
        </w:rPr>
      </w:pPr>
      <w:r w:rsidRPr="006C7FA3">
        <w:rPr>
          <w:rFonts w:ascii="Tahoma" w:hAnsi="Tahoma" w:cs="Tahoma"/>
          <w:sz w:val="20"/>
          <w:szCs w:val="20"/>
        </w:rPr>
        <w:t xml:space="preserve">Period costing will recognise the expense as incurred regardless of the number of items sold, thereby Cost of Goods Sold would be higher or overstated compared to using product costing so profit and Owner’s Equity would be lower or understated. </w:t>
      </w:r>
    </w:p>
    <w:p w14:paraId="57A647E6" w14:textId="4C4A731F" w:rsidR="006C7FA3" w:rsidRPr="006C7FA3" w:rsidRDefault="006C7FA3" w:rsidP="006C7FA3">
      <w:pPr>
        <w:spacing w:before="120"/>
        <w:rPr>
          <w:rFonts w:ascii="Tahoma" w:hAnsi="Tahoma" w:cs="Tahoma"/>
          <w:sz w:val="20"/>
          <w:szCs w:val="20"/>
        </w:rPr>
      </w:pPr>
      <w:r w:rsidRPr="006C7FA3">
        <w:rPr>
          <w:rFonts w:ascii="Tahoma" w:hAnsi="Tahoma" w:cs="Tahoma"/>
          <w:sz w:val="20"/>
          <w:szCs w:val="20"/>
        </w:rPr>
        <w:t xml:space="preserve">Therefore, Assets and </w:t>
      </w:r>
      <w:r w:rsidR="00F1775F">
        <w:rPr>
          <w:rFonts w:ascii="Tahoma" w:hAnsi="Tahoma" w:cs="Tahoma"/>
          <w:sz w:val="20"/>
          <w:szCs w:val="20"/>
        </w:rPr>
        <w:t xml:space="preserve">Inventory </w:t>
      </w:r>
      <w:r w:rsidRPr="006C7FA3">
        <w:rPr>
          <w:rFonts w:ascii="Tahoma" w:hAnsi="Tahoma" w:cs="Tahoma"/>
          <w:sz w:val="20"/>
          <w:szCs w:val="20"/>
        </w:rPr>
        <w:t xml:space="preserve">will also be lower or understated using period costing as those additional costs are reported as an expense in the Income Statement as opposed to being included in the balance of </w:t>
      </w:r>
      <w:r w:rsidR="00F1775F">
        <w:rPr>
          <w:rFonts w:ascii="Tahoma" w:hAnsi="Tahoma" w:cs="Tahoma"/>
          <w:sz w:val="20"/>
          <w:szCs w:val="20"/>
        </w:rPr>
        <w:t>Inventory</w:t>
      </w:r>
      <w:bookmarkStart w:id="0" w:name="_GoBack"/>
      <w:bookmarkEnd w:id="0"/>
      <w:r w:rsidRPr="006C7FA3">
        <w:rPr>
          <w:rFonts w:ascii="Tahoma" w:hAnsi="Tahoma" w:cs="Tahoma"/>
          <w:sz w:val="20"/>
          <w:szCs w:val="20"/>
        </w:rPr>
        <w:t xml:space="preserve"> on the Balance Sheet as they would using product costing. </w:t>
      </w:r>
    </w:p>
    <w:p w14:paraId="7424A088" w14:textId="77777777" w:rsidR="005F469F" w:rsidRPr="00165EA7" w:rsidRDefault="005F469F">
      <w:pPr>
        <w:rPr>
          <w:rFonts w:ascii="Tahoma" w:hAnsi="Tahoma" w:cs="Tahoma"/>
          <w:b/>
          <w:sz w:val="20"/>
          <w:szCs w:val="20"/>
        </w:rPr>
      </w:pPr>
    </w:p>
    <w:sectPr w:rsidR="005F469F" w:rsidRPr="00165EA7"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altName w:val="Eras Bold ITC"/>
    <w:panose1 w:val="020B0907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70ADD"/>
    <w:multiLevelType w:val="hybridMultilevel"/>
    <w:tmpl w:val="7D546D4E"/>
    <w:lvl w:ilvl="0" w:tplc="B674F44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A7"/>
    <w:rsid w:val="00165EA7"/>
    <w:rsid w:val="004B3BB7"/>
    <w:rsid w:val="005F469F"/>
    <w:rsid w:val="006C7FA3"/>
    <w:rsid w:val="00A314C2"/>
    <w:rsid w:val="00AC5E22"/>
    <w:rsid w:val="00BB2F1F"/>
    <w:rsid w:val="00F17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A05E"/>
  <w15:chartTrackingRefBased/>
  <w15:docId w15:val="{3EE8F5C1-DD15-5F4C-85FA-F2E1664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B3BB7"/>
    <w:pPr>
      <w:keepNext/>
      <w:outlineLvl w:val="0"/>
    </w:pPr>
    <w:rPr>
      <w:rFonts w:ascii="Eras Bold ITC" w:eastAsia="Times New Roman" w:hAnsi="Eras Bold ITC" w:cs="Arial"/>
      <w:b/>
      <w:bCs/>
      <w:kern w:val="32"/>
      <w:sz w:val="26"/>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BB7"/>
    <w:rPr>
      <w:rFonts w:ascii="Eras Bold ITC" w:eastAsia="Times New Roman" w:hAnsi="Eras Bold ITC" w:cs="Arial"/>
      <w:b/>
      <w:bCs/>
      <w:kern w:val="32"/>
      <w:sz w:val="26"/>
      <w:szCs w:val="32"/>
      <w:lang w:eastAsia="en-AU"/>
    </w:rPr>
  </w:style>
  <w:style w:type="table" w:styleId="TableGrid">
    <w:name w:val="Table Grid"/>
    <w:basedOn w:val="TableNormal"/>
    <w:uiPriority w:val="59"/>
    <w:rsid w:val="004B3BB7"/>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B3BB7"/>
    <w:pPr>
      <w:jc w:val="both"/>
    </w:pPr>
    <w:rPr>
      <w:rFonts w:ascii="Tahoma" w:eastAsiaTheme="minorEastAsia" w:hAnsi="Tahoma"/>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Clare Caldwell</cp:lastModifiedBy>
  <cp:revision>7</cp:revision>
  <dcterms:created xsi:type="dcterms:W3CDTF">2019-01-30T00:53:00Z</dcterms:created>
  <dcterms:modified xsi:type="dcterms:W3CDTF">2019-01-30T09:20:00Z</dcterms:modified>
</cp:coreProperties>
</file>