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CFBE" w14:textId="2401A722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61096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52A9FBB3" w14:textId="77777777" w:rsidR="00E2317A" w:rsidRPr="00194062" w:rsidRDefault="00E2317A" w:rsidP="00E2317A">
      <w:pPr>
        <w:pStyle w:val="NoSpacing"/>
        <w:ind w:left="720" w:hanging="720"/>
        <w:rPr>
          <w:rFonts w:ascii="Arial" w:hAnsi="Arial" w:cs="Arial"/>
          <w:b/>
          <w:szCs w:val="20"/>
        </w:rPr>
      </w:pPr>
    </w:p>
    <w:p w14:paraId="5E29EF1F" w14:textId="5F17BB3F" w:rsidR="00E2317A" w:rsidRPr="00194062" w:rsidRDefault="00E2317A" w:rsidP="00E2317A">
      <w:pPr>
        <w:pStyle w:val="NoSpacing"/>
        <w:numPr>
          <w:ilvl w:val="0"/>
          <w:numId w:val="1"/>
        </w:numPr>
        <w:jc w:val="left"/>
        <w:rPr>
          <w:rFonts w:cs="Tahoma"/>
          <w:b/>
        </w:rPr>
      </w:pPr>
      <w:r w:rsidRPr="00194062">
        <w:rPr>
          <w:rFonts w:cs="Tahoma"/>
          <w:b/>
        </w:rPr>
        <w:t xml:space="preserve">Prepare the General Journal entry required on 30 June </w:t>
      </w:r>
      <w:r w:rsidR="00503E2D">
        <w:rPr>
          <w:rFonts w:cs="Tahoma"/>
          <w:b/>
        </w:rPr>
        <w:t>2025</w:t>
      </w:r>
      <w:r w:rsidRPr="00194062">
        <w:rPr>
          <w:rFonts w:cs="Tahoma"/>
          <w:b/>
        </w:rPr>
        <w:t xml:space="preserve"> relating to the ‘Wainer’ oven. </w:t>
      </w:r>
    </w:p>
    <w:p w14:paraId="09C76416" w14:textId="77777777" w:rsidR="00E2317A" w:rsidRPr="00194062" w:rsidRDefault="00E2317A" w:rsidP="00E2317A">
      <w:pPr>
        <w:pStyle w:val="NoSpacing"/>
        <w:ind w:left="360"/>
        <w:rPr>
          <w:rFonts w:cs="Tahoma"/>
          <w:b/>
          <w:sz w:val="10"/>
          <w:szCs w:val="10"/>
        </w:rPr>
      </w:pPr>
    </w:p>
    <w:p w14:paraId="41576214" w14:textId="77777777" w:rsidR="00E2317A" w:rsidRPr="00194062" w:rsidRDefault="00E2317A" w:rsidP="00E2317A">
      <w:pPr>
        <w:pStyle w:val="NoSpacing"/>
        <w:ind w:left="360"/>
        <w:rPr>
          <w:rFonts w:cs="Tahoma"/>
          <w:b/>
        </w:rPr>
      </w:pPr>
      <w:r w:rsidRPr="00194062">
        <w:rPr>
          <w:rFonts w:cs="Tahoma"/>
          <w:b/>
        </w:rPr>
        <w:t xml:space="preserve">A narration is required. </w:t>
      </w:r>
    </w:p>
    <w:p w14:paraId="505A7B0C" w14:textId="5320AF40" w:rsidR="00E2317A" w:rsidRPr="00194062" w:rsidRDefault="00E2317A" w:rsidP="00E2317A">
      <w:pPr>
        <w:pStyle w:val="NoSpacing"/>
        <w:jc w:val="right"/>
        <w:rPr>
          <w:rFonts w:cs="Tahoma"/>
          <w:b/>
        </w:rPr>
      </w:pPr>
    </w:p>
    <w:p w14:paraId="08A3409F" w14:textId="77777777" w:rsidR="00610963" w:rsidRPr="00C00EC1" w:rsidRDefault="00610963" w:rsidP="00610963">
      <w:pPr>
        <w:pStyle w:val="NoSpacing"/>
        <w:rPr>
          <w:rFonts w:cs="Tahoma"/>
          <w:b/>
        </w:rPr>
      </w:pPr>
      <w:r w:rsidRPr="00C00EC1">
        <w:rPr>
          <w:rFonts w:cs="Tahoma"/>
          <w:b/>
        </w:rPr>
        <w:t>General Journal</w:t>
      </w:r>
    </w:p>
    <w:p w14:paraId="79F2B686" w14:textId="77777777" w:rsidR="00610963" w:rsidRPr="00C00EC1" w:rsidRDefault="00610963" w:rsidP="00610963">
      <w:pPr>
        <w:pStyle w:val="NoSpacing"/>
        <w:rPr>
          <w:rFonts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4821"/>
        <w:gridCol w:w="1622"/>
        <w:gridCol w:w="1520"/>
      </w:tblGrid>
      <w:tr w:rsidR="00610963" w:rsidRPr="00C00EC1" w14:paraId="793FF434" w14:textId="77777777" w:rsidTr="002F05C0">
        <w:tc>
          <w:tcPr>
            <w:tcW w:w="1059" w:type="dxa"/>
          </w:tcPr>
          <w:p w14:paraId="6F513DAB" w14:textId="77777777" w:rsidR="00610963" w:rsidRPr="00C00EC1" w:rsidRDefault="00610963" w:rsidP="002F05C0">
            <w:pPr>
              <w:pStyle w:val="NoSpacing"/>
              <w:jc w:val="center"/>
              <w:rPr>
                <w:rFonts w:cs="Tahoma"/>
                <w:b/>
                <w:sz w:val="10"/>
                <w:szCs w:val="10"/>
              </w:rPr>
            </w:pPr>
          </w:p>
          <w:p w14:paraId="1AB7C73A" w14:textId="77777777" w:rsidR="00610963" w:rsidRPr="00C00EC1" w:rsidRDefault="00610963" w:rsidP="002F05C0">
            <w:pPr>
              <w:pStyle w:val="NoSpacing"/>
              <w:jc w:val="center"/>
              <w:rPr>
                <w:rFonts w:cs="Tahoma"/>
                <w:b/>
              </w:rPr>
            </w:pPr>
            <w:r w:rsidRPr="00C00EC1">
              <w:rPr>
                <w:rFonts w:cs="Tahoma"/>
                <w:b/>
              </w:rPr>
              <w:t>Date</w:t>
            </w:r>
          </w:p>
          <w:p w14:paraId="1762CA86" w14:textId="77777777" w:rsidR="00610963" w:rsidRPr="00C00EC1" w:rsidRDefault="00610963" w:rsidP="002F05C0">
            <w:pPr>
              <w:pStyle w:val="NoSpacing"/>
              <w:jc w:val="center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4976" w:type="dxa"/>
          </w:tcPr>
          <w:p w14:paraId="440030F9" w14:textId="77777777" w:rsidR="00610963" w:rsidRPr="00C00EC1" w:rsidRDefault="00610963" w:rsidP="002F05C0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  <w:p w14:paraId="5663A66F" w14:textId="77777777" w:rsidR="00610963" w:rsidRPr="00C00EC1" w:rsidRDefault="00610963" w:rsidP="002F05C0">
            <w:pPr>
              <w:pStyle w:val="NoSpacing"/>
              <w:rPr>
                <w:rFonts w:cs="Tahoma"/>
                <w:b/>
              </w:rPr>
            </w:pPr>
            <w:r w:rsidRPr="00C00EC1">
              <w:rPr>
                <w:rFonts w:cs="Tahoma"/>
                <w:b/>
              </w:rPr>
              <w:t>Details</w:t>
            </w:r>
          </w:p>
        </w:tc>
        <w:tc>
          <w:tcPr>
            <w:tcW w:w="1658" w:type="dxa"/>
          </w:tcPr>
          <w:p w14:paraId="47F4D255" w14:textId="77777777" w:rsidR="00610963" w:rsidRPr="00C00EC1" w:rsidRDefault="00610963" w:rsidP="002F05C0">
            <w:pPr>
              <w:pStyle w:val="NoSpacing"/>
              <w:jc w:val="center"/>
              <w:rPr>
                <w:rFonts w:cs="Tahoma"/>
                <w:b/>
                <w:sz w:val="10"/>
                <w:szCs w:val="10"/>
              </w:rPr>
            </w:pPr>
          </w:p>
          <w:p w14:paraId="1635D0D6" w14:textId="77777777" w:rsidR="00610963" w:rsidRPr="00C00EC1" w:rsidRDefault="00610963" w:rsidP="002F05C0">
            <w:pPr>
              <w:pStyle w:val="NoSpacing"/>
              <w:jc w:val="center"/>
              <w:rPr>
                <w:rFonts w:cs="Tahoma"/>
                <w:b/>
              </w:rPr>
            </w:pPr>
            <w:r w:rsidRPr="00C00EC1">
              <w:rPr>
                <w:rFonts w:cs="Tahoma"/>
                <w:b/>
              </w:rPr>
              <w:t>Debit</w:t>
            </w:r>
          </w:p>
        </w:tc>
        <w:tc>
          <w:tcPr>
            <w:tcW w:w="1549" w:type="dxa"/>
          </w:tcPr>
          <w:p w14:paraId="29995FEF" w14:textId="77777777" w:rsidR="00610963" w:rsidRPr="00C00EC1" w:rsidRDefault="00610963" w:rsidP="002F05C0">
            <w:pPr>
              <w:pStyle w:val="NoSpacing"/>
              <w:jc w:val="center"/>
              <w:rPr>
                <w:rFonts w:cs="Tahoma"/>
                <w:b/>
                <w:sz w:val="10"/>
                <w:szCs w:val="10"/>
              </w:rPr>
            </w:pPr>
          </w:p>
          <w:p w14:paraId="7C022485" w14:textId="77777777" w:rsidR="00610963" w:rsidRPr="00C00EC1" w:rsidRDefault="00610963" w:rsidP="002F05C0">
            <w:pPr>
              <w:pStyle w:val="NoSpacing"/>
              <w:jc w:val="center"/>
              <w:rPr>
                <w:rFonts w:cs="Tahoma"/>
                <w:b/>
              </w:rPr>
            </w:pPr>
            <w:r w:rsidRPr="00C00EC1">
              <w:rPr>
                <w:rFonts w:cs="Tahoma"/>
                <w:b/>
              </w:rPr>
              <w:t>Credit</w:t>
            </w:r>
          </w:p>
        </w:tc>
      </w:tr>
      <w:tr w:rsidR="00610963" w:rsidRPr="00C00EC1" w14:paraId="1B342BA1" w14:textId="77777777" w:rsidTr="002F05C0">
        <w:tc>
          <w:tcPr>
            <w:tcW w:w="1059" w:type="dxa"/>
          </w:tcPr>
          <w:p w14:paraId="258872B1" w14:textId="77777777" w:rsidR="00610963" w:rsidRPr="00382EC4" w:rsidRDefault="00610963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7EA4B741" w14:textId="77777777" w:rsidR="00610963" w:rsidRDefault="00610963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30/06</w:t>
            </w:r>
          </w:p>
          <w:p w14:paraId="10173958" w14:textId="77777777" w:rsidR="00610963" w:rsidRPr="00382EC4" w:rsidRDefault="00610963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4976" w:type="dxa"/>
          </w:tcPr>
          <w:p w14:paraId="65FF9AD7" w14:textId="77777777" w:rsidR="00610963" w:rsidRPr="00382EC4" w:rsidRDefault="00610963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9E41AF3" w14:textId="77777777" w:rsidR="00610963" w:rsidRPr="00382EC4" w:rsidRDefault="00610963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Inventory Write Down</w:t>
            </w:r>
          </w:p>
        </w:tc>
        <w:tc>
          <w:tcPr>
            <w:tcW w:w="1658" w:type="dxa"/>
          </w:tcPr>
          <w:p w14:paraId="5EEAA4E2" w14:textId="77777777" w:rsidR="00610963" w:rsidRPr="00382EC4" w:rsidRDefault="00610963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AC44C50" w14:textId="2E983542" w:rsidR="00610963" w:rsidRPr="00382EC4" w:rsidRDefault="00610963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800</w:t>
            </w:r>
          </w:p>
        </w:tc>
        <w:tc>
          <w:tcPr>
            <w:tcW w:w="1549" w:type="dxa"/>
          </w:tcPr>
          <w:p w14:paraId="07B08D94" w14:textId="77777777" w:rsidR="00610963" w:rsidRPr="00382EC4" w:rsidRDefault="00610963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610963" w:rsidRPr="00C00EC1" w14:paraId="35B1E1FA" w14:textId="77777777" w:rsidTr="002F05C0">
        <w:tc>
          <w:tcPr>
            <w:tcW w:w="1059" w:type="dxa"/>
          </w:tcPr>
          <w:p w14:paraId="3B7A7031" w14:textId="77777777" w:rsidR="00610963" w:rsidRPr="00382EC4" w:rsidRDefault="00610963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4976" w:type="dxa"/>
          </w:tcPr>
          <w:p w14:paraId="632EE42F" w14:textId="77777777" w:rsidR="00610963" w:rsidRPr="00382EC4" w:rsidRDefault="00610963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8F4DDDB" w14:textId="77777777" w:rsidR="00610963" w:rsidRDefault="00610963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Inventory</w:t>
            </w:r>
          </w:p>
          <w:p w14:paraId="04EFDAED" w14:textId="77777777" w:rsidR="00610963" w:rsidRPr="00382EC4" w:rsidRDefault="00610963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658" w:type="dxa"/>
          </w:tcPr>
          <w:p w14:paraId="00AE6AB4" w14:textId="77777777" w:rsidR="00610963" w:rsidRPr="00382EC4" w:rsidRDefault="00610963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549" w:type="dxa"/>
          </w:tcPr>
          <w:p w14:paraId="3E401C22" w14:textId="77777777" w:rsidR="00610963" w:rsidRPr="00382EC4" w:rsidRDefault="00610963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C842CA7" w14:textId="750F38CB" w:rsidR="00610963" w:rsidRPr="00382EC4" w:rsidRDefault="00610963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800</w:t>
            </w:r>
          </w:p>
        </w:tc>
      </w:tr>
      <w:tr w:rsidR="00610963" w:rsidRPr="00C00EC1" w14:paraId="1F0E9154" w14:textId="77777777" w:rsidTr="002F05C0">
        <w:tc>
          <w:tcPr>
            <w:tcW w:w="1059" w:type="dxa"/>
          </w:tcPr>
          <w:p w14:paraId="04370F76" w14:textId="77777777" w:rsidR="00610963" w:rsidRPr="00382EC4" w:rsidRDefault="00610963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4976" w:type="dxa"/>
          </w:tcPr>
          <w:p w14:paraId="4F58DAF6" w14:textId="77777777" w:rsidR="00610963" w:rsidRPr="00382EC4" w:rsidRDefault="00610963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ED4F8F2" w14:textId="7664FA87" w:rsidR="00610963" w:rsidRDefault="00610963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6 ‘Wainer’ ovens written down to NRV (Memo 197).</w:t>
            </w:r>
          </w:p>
          <w:p w14:paraId="6B5F0CC4" w14:textId="77777777" w:rsidR="00610963" w:rsidRPr="00382EC4" w:rsidRDefault="00610963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658" w:type="dxa"/>
          </w:tcPr>
          <w:p w14:paraId="3879A587" w14:textId="77777777" w:rsidR="00610963" w:rsidRPr="00382EC4" w:rsidRDefault="00610963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549" w:type="dxa"/>
          </w:tcPr>
          <w:p w14:paraId="2DCFFC4B" w14:textId="77777777" w:rsidR="00610963" w:rsidRPr="00382EC4" w:rsidRDefault="00610963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</w:tbl>
    <w:p w14:paraId="1A39A431" w14:textId="77777777" w:rsidR="00E2317A" w:rsidRPr="0086017F" w:rsidRDefault="00E2317A" w:rsidP="00E2317A">
      <w:pPr>
        <w:pStyle w:val="NoSpacing"/>
        <w:rPr>
          <w:rFonts w:cs="Tahoma"/>
        </w:rPr>
      </w:pPr>
    </w:p>
    <w:p w14:paraId="305CA366" w14:textId="77777777" w:rsidR="00E2317A" w:rsidRPr="00194062" w:rsidRDefault="00E2317A" w:rsidP="00E2317A">
      <w:pPr>
        <w:pStyle w:val="ListParagraph"/>
        <w:spacing w:after="0" w:line="240" w:lineRule="auto"/>
        <w:ind w:left="360"/>
        <w:rPr>
          <w:rFonts w:cs="Tahoma"/>
          <w:b/>
          <w:sz w:val="10"/>
          <w:szCs w:val="10"/>
        </w:rPr>
      </w:pPr>
    </w:p>
    <w:p w14:paraId="6CF55159" w14:textId="77777777" w:rsidR="00E2317A" w:rsidRPr="00194062" w:rsidRDefault="00E2317A" w:rsidP="00E2317A">
      <w:pPr>
        <w:pStyle w:val="ListParagraph"/>
        <w:numPr>
          <w:ilvl w:val="0"/>
          <w:numId w:val="1"/>
        </w:numPr>
        <w:spacing w:after="0" w:line="240" w:lineRule="auto"/>
        <w:rPr>
          <w:rFonts w:cs="Tahoma"/>
          <w:b/>
        </w:rPr>
      </w:pPr>
      <w:r w:rsidRPr="00194062">
        <w:rPr>
          <w:rFonts w:cs="Tahoma"/>
          <w:b/>
        </w:rPr>
        <w:t xml:space="preserve">Explain how the valuation of the ‘Wainer’ oven effects the Income Statement and the Balance Sheet.  </w:t>
      </w:r>
    </w:p>
    <w:p w14:paraId="5D5EC0DE" w14:textId="77777777" w:rsidR="00610963" w:rsidRDefault="00610963" w:rsidP="00610963">
      <w:pPr>
        <w:pStyle w:val="NoSpacing"/>
        <w:rPr>
          <w:rFonts w:asciiTheme="minorHAnsi" w:eastAsiaTheme="minorHAnsi" w:hAnsiTheme="minorHAnsi" w:cs="Tahoma"/>
          <w:sz w:val="24"/>
          <w:szCs w:val="24"/>
          <w:lang w:eastAsia="en-US"/>
        </w:rPr>
      </w:pPr>
    </w:p>
    <w:p w14:paraId="0921B983" w14:textId="74EE663D" w:rsidR="00251C35" w:rsidRPr="00610963" w:rsidRDefault="00251C35" w:rsidP="00610963">
      <w:pPr>
        <w:pStyle w:val="NoSpacing"/>
        <w:jc w:val="left"/>
        <w:rPr>
          <w:rFonts w:cs="Tahoma"/>
        </w:rPr>
      </w:pPr>
      <w:r w:rsidRPr="00610963">
        <w:rPr>
          <w:rFonts w:cs="Tahoma"/>
        </w:rPr>
        <w:t xml:space="preserve">As the ‘Wainer’ oven is valued at the lower of cost and net realisable value as </w:t>
      </w:r>
      <w:proofErr w:type="gramStart"/>
      <w:r w:rsidRPr="00610963">
        <w:rPr>
          <w:rFonts w:cs="Tahoma"/>
        </w:rPr>
        <w:t>at</w:t>
      </w:r>
      <w:proofErr w:type="gramEnd"/>
      <w:r w:rsidRPr="00610963">
        <w:rPr>
          <w:rFonts w:cs="Tahoma"/>
        </w:rPr>
        <w:t xml:space="preserve"> 30 June </w:t>
      </w:r>
      <w:r w:rsidR="00503E2D">
        <w:rPr>
          <w:rFonts w:cs="Tahoma"/>
        </w:rPr>
        <w:t>2025</w:t>
      </w:r>
      <w:r w:rsidRPr="00610963">
        <w:rPr>
          <w:rFonts w:cs="Tahoma"/>
        </w:rPr>
        <w:t>, the Income Statement would see an increase in expenses being a</w:t>
      </w:r>
      <w:r w:rsidR="00610963">
        <w:rPr>
          <w:rFonts w:cs="Tahoma"/>
        </w:rPr>
        <w:t xml:space="preserve">n Inventory </w:t>
      </w:r>
      <w:r w:rsidRPr="00610963">
        <w:rPr>
          <w:rFonts w:cs="Tahoma"/>
        </w:rPr>
        <w:t xml:space="preserve">Write Down. As expenses are higher, profit would be lower. </w:t>
      </w:r>
    </w:p>
    <w:p w14:paraId="6DD6978D" w14:textId="77777777" w:rsidR="00251C35" w:rsidRPr="00610963" w:rsidRDefault="00251C35" w:rsidP="00610963">
      <w:pPr>
        <w:pStyle w:val="NoSpacing"/>
        <w:ind w:left="720" w:hanging="720"/>
        <w:jc w:val="left"/>
        <w:rPr>
          <w:rFonts w:cs="Tahoma"/>
          <w:b/>
        </w:rPr>
      </w:pPr>
    </w:p>
    <w:p w14:paraId="4DBEBDD7" w14:textId="77777777" w:rsidR="00610963" w:rsidRDefault="00251C35" w:rsidP="00610963">
      <w:pPr>
        <w:pStyle w:val="NoSpacing"/>
        <w:ind w:left="720" w:hanging="720"/>
        <w:jc w:val="left"/>
        <w:rPr>
          <w:rFonts w:cs="Tahoma"/>
        </w:rPr>
      </w:pPr>
      <w:r w:rsidRPr="00610963">
        <w:rPr>
          <w:rFonts w:cs="Tahoma"/>
        </w:rPr>
        <w:t xml:space="preserve">As the </w:t>
      </w:r>
      <w:r w:rsidR="00610963">
        <w:rPr>
          <w:rFonts w:cs="Tahoma"/>
        </w:rPr>
        <w:t xml:space="preserve">Inventory </w:t>
      </w:r>
      <w:r w:rsidRPr="00610963">
        <w:rPr>
          <w:rFonts w:cs="Tahoma"/>
        </w:rPr>
        <w:t>is valued at the lower of cost and net realisable value, the value of Assets</w:t>
      </w:r>
    </w:p>
    <w:p w14:paraId="2F8536EB" w14:textId="25E8AC4F" w:rsidR="008E5B65" w:rsidRDefault="00251C35" w:rsidP="008E5B65">
      <w:pPr>
        <w:pStyle w:val="NoSpacing"/>
        <w:ind w:left="720" w:hanging="720"/>
        <w:jc w:val="left"/>
        <w:rPr>
          <w:rFonts w:cs="Tahoma"/>
        </w:rPr>
      </w:pPr>
      <w:r w:rsidRPr="00610963">
        <w:rPr>
          <w:rFonts w:cs="Tahoma"/>
        </w:rPr>
        <w:t>(</w:t>
      </w:r>
      <w:r w:rsidR="00610963">
        <w:rPr>
          <w:rFonts w:cs="Tahoma"/>
        </w:rPr>
        <w:t>Inventory</w:t>
      </w:r>
      <w:r w:rsidRPr="00610963">
        <w:rPr>
          <w:rFonts w:cs="Tahoma"/>
        </w:rPr>
        <w:t xml:space="preserve">) reported on the Balance Sheet as </w:t>
      </w:r>
      <w:proofErr w:type="gramStart"/>
      <w:r w:rsidRPr="00610963">
        <w:rPr>
          <w:rFonts w:cs="Tahoma"/>
        </w:rPr>
        <w:t>at</w:t>
      </w:r>
      <w:proofErr w:type="gramEnd"/>
      <w:r w:rsidRPr="00610963">
        <w:rPr>
          <w:rFonts w:cs="Tahoma"/>
        </w:rPr>
        <w:t xml:space="preserve"> 30 June </w:t>
      </w:r>
      <w:r w:rsidR="00503E2D">
        <w:rPr>
          <w:rFonts w:cs="Tahoma"/>
        </w:rPr>
        <w:t>2025</w:t>
      </w:r>
      <w:r w:rsidRPr="00610963">
        <w:rPr>
          <w:rFonts w:cs="Tahoma"/>
        </w:rPr>
        <w:t xml:space="preserve"> would be lower. The Owner’s Equity </w:t>
      </w:r>
    </w:p>
    <w:p w14:paraId="18E7A2BE" w14:textId="77777777" w:rsidR="008E5B65" w:rsidRDefault="00251C35" w:rsidP="008E5B65">
      <w:pPr>
        <w:pStyle w:val="NoSpacing"/>
        <w:ind w:left="720" w:hanging="720"/>
        <w:jc w:val="left"/>
        <w:rPr>
          <w:rFonts w:cs="Tahoma"/>
        </w:rPr>
      </w:pPr>
      <w:r w:rsidRPr="00610963">
        <w:rPr>
          <w:rFonts w:cs="Tahoma"/>
        </w:rPr>
        <w:t xml:space="preserve">section of the Balance Sheet would also be lower as a result of the </w:t>
      </w:r>
      <w:r w:rsidR="008E5B65">
        <w:rPr>
          <w:rFonts w:cs="Tahoma"/>
        </w:rPr>
        <w:t xml:space="preserve">Inventory </w:t>
      </w:r>
      <w:r w:rsidRPr="00610963">
        <w:rPr>
          <w:rFonts w:cs="Tahoma"/>
        </w:rPr>
        <w:t xml:space="preserve">Write Down expense </w:t>
      </w:r>
    </w:p>
    <w:p w14:paraId="064C1FC8" w14:textId="05F14B74" w:rsidR="00251C35" w:rsidRPr="008E5B65" w:rsidRDefault="00251C35" w:rsidP="008E5B65">
      <w:pPr>
        <w:pStyle w:val="NoSpacing"/>
        <w:ind w:left="720" w:hanging="720"/>
        <w:jc w:val="left"/>
        <w:rPr>
          <w:rFonts w:cs="Tahoma"/>
        </w:rPr>
      </w:pPr>
      <w:r w:rsidRPr="00610963">
        <w:rPr>
          <w:rFonts w:cs="Tahoma"/>
        </w:rPr>
        <w:t xml:space="preserve">reducing profit. </w:t>
      </w:r>
    </w:p>
    <w:p w14:paraId="316BEE4F" w14:textId="77777777" w:rsidR="00251C35" w:rsidRDefault="00251C35" w:rsidP="00251C35">
      <w:pPr>
        <w:pStyle w:val="NoSpacing"/>
        <w:ind w:left="720" w:hanging="720"/>
        <w:rPr>
          <w:rFonts w:ascii="Arial" w:hAnsi="Arial" w:cs="Arial"/>
          <w:b/>
          <w:szCs w:val="20"/>
        </w:rPr>
      </w:pPr>
    </w:p>
    <w:p w14:paraId="14A229F2" w14:textId="77777777" w:rsidR="00251C35" w:rsidRDefault="00251C35" w:rsidP="00251C35">
      <w:pPr>
        <w:pStyle w:val="NoSpacing"/>
        <w:rPr>
          <w:rFonts w:cs="Tahoma"/>
          <w:b/>
        </w:rPr>
      </w:pPr>
    </w:p>
    <w:p w14:paraId="2C2FE9EA" w14:textId="77777777" w:rsidR="00251C35" w:rsidRDefault="00251C35" w:rsidP="00251C35">
      <w:pPr>
        <w:pStyle w:val="NoSpacing"/>
        <w:rPr>
          <w:rFonts w:cs="Tahoma"/>
          <w:b/>
        </w:rPr>
      </w:pPr>
    </w:p>
    <w:p w14:paraId="452D92A8" w14:textId="77777777" w:rsidR="00251C35" w:rsidRDefault="00251C35" w:rsidP="00251C35">
      <w:pPr>
        <w:pStyle w:val="NoSpacing"/>
        <w:rPr>
          <w:rFonts w:cs="Tahoma"/>
          <w:b/>
        </w:rPr>
      </w:pPr>
    </w:p>
    <w:p w14:paraId="006014A9" w14:textId="77777777" w:rsidR="00251C35" w:rsidRDefault="00251C35" w:rsidP="00251C35">
      <w:pPr>
        <w:pStyle w:val="NoSpacing"/>
        <w:rPr>
          <w:rFonts w:cs="Tahoma"/>
          <w:b/>
        </w:rPr>
      </w:pPr>
    </w:p>
    <w:p w14:paraId="5B5A67C5" w14:textId="77777777" w:rsidR="00194062" w:rsidRPr="00194062" w:rsidRDefault="00194062" w:rsidP="00194062">
      <w:pPr>
        <w:rPr>
          <w:rFonts w:cs="Tahoma"/>
        </w:rPr>
      </w:pPr>
    </w:p>
    <w:sectPr w:rsidR="00194062" w:rsidRPr="00194062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628"/>
    <w:multiLevelType w:val="hybridMultilevel"/>
    <w:tmpl w:val="9D9E447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759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194062"/>
    <w:rsid w:val="00251C35"/>
    <w:rsid w:val="00503E2D"/>
    <w:rsid w:val="00610963"/>
    <w:rsid w:val="008E5B65"/>
    <w:rsid w:val="00A314C2"/>
    <w:rsid w:val="00A41A72"/>
    <w:rsid w:val="00BB2F1F"/>
    <w:rsid w:val="00E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17A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17A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E2317A"/>
    <w:pPr>
      <w:spacing w:after="200" w:line="276" w:lineRule="auto"/>
      <w:ind w:left="720"/>
      <w:contextualSpacing/>
    </w:pPr>
    <w:rPr>
      <w:rFonts w:ascii="Tahoma" w:eastAsiaTheme="minorEastAsia" w:hAnsi="Tahoma"/>
      <w:sz w:val="20"/>
      <w:szCs w:val="22"/>
      <w:lang w:eastAsia="en-AU"/>
    </w:rPr>
  </w:style>
  <w:style w:type="table" w:styleId="TableGrid">
    <w:name w:val="Table Grid"/>
    <w:basedOn w:val="TableNormal"/>
    <w:uiPriority w:val="59"/>
    <w:rsid w:val="00E2317A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E2317A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317A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2317A"/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809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6</cp:revision>
  <dcterms:created xsi:type="dcterms:W3CDTF">2019-01-30T00:53:00Z</dcterms:created>
  <dcterms:modified xsi:type="dcterms:W3CDTF">2025-01-12T08:56:00Z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4bf4fb7020afaf662ee28344c661c2f5260adee0b289dcf9e71f9af568ff6f7f</vt:lpwstr>
  </property>
</Properties>
</file>